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1F091" w14:textId="35DA0942" w:rsidR="007C7F53" w:rsidRDefault="00B805C7" w:rsidP="00D745C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A0B505" wp14:editId="4FB294B7">
            <wp:extent cx="6657975" cy="8001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98DC1" w14:textId="77777777" w:rsidR="00B805C7" w:rsidRDefault="00B805C7" w:rsidP="00B805C7">
      <w:pPr>
        <w:jc w:val="center"/>
        <w:rPr>
          <w:b/>
          <w:bCs/>
        </w:rPr>
      </w:pPr>
    </w:p>
    <w:p w14:paraId="642C864B" w14:textId="0B39D629" w:rsidR="007C7F53" w:rsidRDefault="0009551D" w:rsidP="00B805C7">
      <w:pPr>
        <w:jc w:val="center"/>
        <w:rPr>
          <w:b/>
          <w:bCs/>
        </w:rPr>
      </w:pPr>
      <w:r w:rsidRPr="5C1BB18B">
        <w:rPr>
          <w:b/>
          <w:bCs/>
        </w:rPr>
        <w:t xml:space="preserve">Safe </w:t>
      </w:r>
      <w:r w:rsidR="00A47B36">
        <w:rPr>
          <w:b/>
          <w:bCs/>
        </w:rPr>
        <w:t>F</w:t>
      </w:r>
      <w:r w:rsidRPr="5C1BB18B">
        <w:rPr>
          <w:b/>
          <w:bCs/>
        </w:rPr>
        <w:t>rom the Start</w:t>
      </w:r>
      <w:r w:rsidR="007C7F53" w:rsidRPr="5C1BB18B">
        <w:rPr>
          <w:b/>
          <w:bCs/>
        </w:rPr>
        <w:t xml:space="preserve"> Evaluation Protocol</w:t>
      </w:r>
    </w:p>
    <w:p w14:paraId="1B28D220" w14:textId="77777777" w:rsidR="007C7F53" w:rsidRDefault="007C7F53" w:rsidP="007C7F53"/>
    <w:p w14:paraId="002EBE57" w14:textId="006E5628" w:rsidR="00EF2F89" w:rsidRPr="00EF2F89" w:rsidRDefault="00EF2F89" w:rsidP="168B18C0">
      <w:pPr>
        <w:rPr>
          <w:b/>
          <w:bCs/>
          <w:i/>
          <w:iCs/>
          <w:strike/>
        </w:rPr>
      </w:pPr>
      <w:r w:rsidRPr="168B18C0">
        <w:rPr>
          <w:b/>
          <w:bCs/>
          <w:i/>
          <w:iCs/>
        </w:rPr>
        <w:t xml:space="preserve">All providers </w:t>
      </w:r>
      <w:r w:rsidR="009F08AC" w:rsidRPr="168B18C0">
        <w:rPr>
          <w:b/>
          <w:bCs/>
          <w:i/>
          <w:iCs/>
        </w:rPr>
        <w:t>are to</w:t>
      </w:r>
      <w:r w:rsidR="00901AF3">
        <w:rPr>
          <w:b/>
          <w:bCs/>
          <w:i/>
          <w:iCs/>
        </w:rPr>
        <w:t xml:space="preserve"> </w:t>
      </w:r>
      <w:r w:rsidRPr="168B18C0">
        <w:rPr>
          <w:b/>
          <w:bCs/>
          <w:i/>
          <w:iCs/>
        </w:rPr>
        <w:t xml:space="preserve">gather data from </w:t>
      </w:r>
      <w:r w:rsidR="00002229">
        <w:rPr>
          <w:b/>
          <w:bCs/>
          <w:i/>
          <w:iCs/>
        </w:rPr>
        <w:t>clients</w:t>
      </w:r>
      <w:r w:rsidRPr="168B18C0">
        <w:rPr>
          <w:b/>
          <w:bCs/>
          <w:i/>
          <w:iCs/>
        </w:rPr>
        <w:t xml:space="preserve"> receiving Safe From the Start (SFS) services based on the following guidelines. This protocol gives instruction </w:t>
      </w:r>
      <w:r w:rsidR="00BD085C">
        <w:rPr>
          <w:b/>
          <w:bCs/>
          <w:i/>
          <w:iCs/>
        </w:rPr>
        <w:t xml:space="preserve">on administering </w:t>
      </w:r>
      <w:r w:rsidR="00C211A1" w:rsidRPr="168B18C0">
        <w:rPr>
          <w:b/>
          <w:bCs/>
          <w:i/>
          <w:iCs/>
        </w:rPr>
        <w:t>assessments</w:t>
      </w:r>
      <w:r w:rsidRPr="168B18C0">
        <w:rPr>
          <w:b/>
          <w:bCs/>
          <w:i/>
          <w:iCs/>
        </w:rPr>
        <w:t xml:space="preserve"> </w:t>
      </w:r>
      <w:r w:rsidR="00FB2332">
        <w:rPr>
          <w:b/>
          <w:bCs/>
          <w:i/>
          <w:iCs/>
        </w:rPr>
        <w:t xml:space="preserve">and gathering </w:t>
      </w:r>
      <w:r w:rsidR="00684F4B">
        <w:rPr>
          <w:b/>
          <w:bCs/>
          <w:i/>
          <w:iCs/>
        </w:rPr>
        <w:t xml:space="preserve">data at intake and </w:t>
      </w:r>
      <w:r w:rsidR="00395831">
        <w:rPr>
          <w:b/>
          <w:bCs/>
          <w:i/>
          <w:iCs/>
        </w:rPr>
        <w:t xml:space="preserve">when a </w:t>
      </w:r>
      <w:r w:rsidR="00977E07">
        <w:rPr>
          <w:b/>
          <w:bCs/>
          <w:i/>
          <w:iCs/>
        </w:rPr>
        <w:t xml:space="preserve">client </w:t>
      </w:r>
      <w:r w:rsidR="009F5D00">
        <w:rPr>
          <w:b/>
          <w:bCs/>
          <w:i/>
          <w:iCs/>
        </w:rPr>
        <w:t xml:space="preserve">exits </w:t>
      </w:r>
      <w:r w:rsidR="00977E07">
        <w:rPr>
          <w:b/>
          <w:bCs/>
          <w:i/>
          <w:iCs/>
        </w:rPr>
        <w:t>services</w:t>
      </w:r>
      <w:r w:rsidRPr="168B18C0">
        <w:rPr>
          <w:b/>
          <w:bCs/>
          <w:i/>
          <w:iCs/>
        </w:rPr>
        <w:t>.</w:t>
      </w:r>
      <w:r w:rsidR="002A22FB">
        <w:rPr>
          <w:b/>
          <w:bCs/>
          <w:i/>
          <w:iCs/>
        </w:rPr>
        <w:t xml:space="preserve"> </w:t>
      </w:r>
      <w:r w:rsidR="00BE7D56">
        <w:rPr>
          <w:b/>
          <w:bCs/>
          <w:i/>
          <w:iCs/>
        </w:rPr>
        <w:t>Providers are</w:t>
      </w:r>
      <w:r w:rsidR="004F4819">
        <w:rPr>
          <w:b/>
          <w:bCs/>
          <w:i/>
          <w:iCs/>
        </w:rPr>
        <w:t xml:space="preserve"> to</w:t>
      </w:r>
      <w:r w:rsidR="00BE7D56">
        <w:rPr>
          <w:b/>
          <w:bCs/>
          <w:i/>
          <w:iCs/>
        </w:rPr>
        <w:t xml:space="preserve"> implement this protocol no later than January 1, 2025. </w:t>
      </w:r>
    </w:p>
    <w:p w14:paraId="0C0A3F65" w14:textId="77777777" w:rsidR="00EF2F89" w:rsidRDefault="00EF2F89" w:rsidP="007C7F53"/>
    <w:p w14:paraId="4A0FD46A" w14:textId="10D3659C" w:rsidR="007618E6" w:rsidRDefault="00B972A0" w:rsidP="007C7F53">
      <w:r w:rsidRPr="002817CF">
        <w:rPr>
          <w:b/>
          <w:bCs/>
          <w:u w:val="single"/>
        </w:rPr>
        <w:t xml:space="preserve">Evaluation </w:t>
      </w:r>
      <w:r w:rsidR="00415524" w:rsidRPr="002817CF">
        <w:rPr>
          <w:b/>
          <w:bCs/>
          <w:u w:val="single"/>
        </w:rPr>
        <w:t>Project Background</w:t>
      </w:r>
      <w:r w:rsidR="00415524">
        <w:t xml:space="preserve">: </w:t>
      </w:r>
    </w:p>
    <w:p w14:paraId="3934CA75" w14:textId="77777777" w:rsidR="00A478E1" w:rsidRDefault="00A478E1" w:rsidP="008304C0"/>
    <w:p w14:paraId="637756F5" w14:textId="23EBE093" w:rsidR="00320C29" w:rsidRDefault="57688C5B" w:rsidP="008304C0">
      <w:r>
        <w:t>The Illinois Safe from the Start program began in 2001 with the Chicago Safe Start demonstration site</w:t>
      </w:r>
      <w:r w:rsidR="0063463C">
        <w:t xml:space="preserve">, which served </w:t>
      </w:r>
      <w:r w:rsidR="009D04A1">
        <w:t xml:space="preserve">two </w:t>
      </w:r>
      <w:r w:rsidR="00693AB3">
        <w:t>Chicago south side community areas</w:t>
      </w:r>
      <w:r>
        <w:t xml:space="preserve">. </w:t>
      </w:r>
      <w:r w:rsidR="002405C7">
        <w:t xml:space="preserve">In </w:t>
      </w:r>
      <w:r w:rsidR="0092152D">
        <w:t>State Fiscal Year (SFY</w:t>
      </w:r>
      <w:r w:rsidR="00AC6EA8">
        <w:t>) 2005, t</w:t>
      </w:r>
      <w:r>
        <w:t xml:space="preserve">he Illinois Violence Prevention Authority (IVPA) funded evaluation efforts for the Chicago Safe Start site </w:t>
      </w:r>
      <w:r w:rsidR="00CE65EF">
        <w:t xml:space="preserve">and provided funding </w:t>
      </w:r>
      <w:r w:rsidR="003770A8">
        <w:t xml:space="preserve">to additional </w:t>
      </w:r>
      <w:r w:rsidR="00E06A50">
        <w:t xml:space="preserve">sites </w:t>
      </w:r>
      <w:r w:rsidR="00FA4053">
        <w:t xml:space="preserve">throughout </w:t>
      </w:r>
      <w:r w:rsidR="00B44939">
        <w:t xml:space="preserve">the state </w:t>
      </w:r>
      <w:r w:rsidR="00E06A50">
        <w:t>to implement the Safe From the Start program</w:t>
      </w:r>
      <w:r>
        <w:t xml:space="preserve">. IVPA staff and </w:t>
      </w:r>
      <w:r w:rsidR="00656473">
        <w:t xml:space="preserve">SFS </w:t>
      </w:r>
      <w:r>
        <w:t>service providers collaborated to create intake</w:t>
      </w:r>
      <w:r w:rsidR="008142E8">
        <w:t xml:space="preserve"> and </w:t>
      </w:r>
      <w:r>
        <w:t>exit forms and select</w:t>
      </w:r>
      <w:r w:rsidR="006C1FE0">
        <w:t>ed</w:t>
      </w:r>
      <w:r>
        <w:t xml:space="preserve"> common standardized assessments to use with </w:t>
      </w:r>
      <w:r w:rsidR="00002229">
        <w:t>clients</w:t>
      </w:r>
      <w:r>
        <w:t xml:space="preserve"> receiving services. </w:t>
      </w:r>
      <w:r w:rsidR="007134A4">
        <w:t xml:space="preserve">A database was created for sites to enter </w:t>
      </w:r>
      <w:r w:rsidR="00142CD7">
        <w:t xml:space="preserve">client and assessment data. </w:t>
      </w:r>
      <w:r>
        <w:t xml:space="preserve">University of Illinois </w:t>
      </w:r>
      <w:r w:rsidR="00745D43">
        <w:t xml:space="preserve">at </w:t>
      </w:r>
      <w:r>
        <w:t xml:space="preserve">Chicago (UIC) </w:t>
      </w:r>
      <w:r w:rsidR="00745D43">
        <w:t xml:space="preserve">researchers </w:t>
      </w:r>
      <w:r>
        <w:t>partnered with IVPA to provide research support</w:t>
      </w:r>
      <w:r w:rsidR="00745D43">
        <w:t>, including support for the database,</w:t>
      </w:r>
      <w:r>
        <w:t xml:space="preserve"> and technical assistance to sites.</w:t>
      </w:r>
    </w:p>
    <w:p w14:paraId="0CC5B88B" w14:textId="1845625F" w:rsidR="0057323A" w:rsidRDefault="0057323A" w:rsidP="008304C0"/>
    <w:p w14:paraId="70365027" w14:textId="6E0C9A94" w:rsidR="0057323A" w:rsidRDefault="0057323A" w:rsidP="0057323A">
      <w:r w:rsidRPr="0057323A">
        <w:t xml:space="preserve">In 2013, administrative oversight of </w:t>
      </w:r>
      <w:r w:rsidR="00CF0FD2">
        <w:t>the program</w:t>
      </w:r>
      <w:r w:rsidRPr="0057323A">
        <w:t xml:space="preserve"> was transferred to </w:t>
      </w:r>
      <w:r w:rsidR="0005397D">
        <w:t xml:space="preserve">the </w:t>
      </w:r>
      <w:r w:rsidRPr="0057323A">
        <w:t>I</w:t>
      </w:r>
      <w:r w:rsidR="0005397D">
        <w:t xml:space="preserve">llinois </w:t>
      </w:r>
      <w:r w:rsidRPr="0057323A">
        <w:t>C</w:t>
      </w:r>
      <w:r w:rsidR="0005397D">
        <w:t xml:space="preserve">riminal </w:t>
      </w:r>
      <w:r w:rsidRPr="0057323A">
        <w:t>J</w:t>
      </w:r>
      <w:r w:rsidR="0005397D">
        <w:t xml:space="preserve">ustice </w:t>
      </w:r>
      <w:r w:rsidRPr="0057323A">
        <w:t>I</w:t>
      </w:r>
      <w:r w:rsidR="0005397D">
        <w:t xml:space="preserve">nformation </w:t>
      </w:r>
      <w:r w:rsidRPr="0057323A">
        <w:t>A</w:t>
      </w:r>
      <w:r w:rsidR="0005397D">
        <w:t>uthority</w:t>
      </w:r>
      <w:r w:rsidR="0083623D">
        <w:t xml:space="preserve"> (ICJIA)</w:t>
      </w:r>
      <w:r w:rsidRPr="0057323A">
        <w:t>. UIC continued to conduct research and manag</w:t>
      </w:r>
      <w:r w:rsidR="00DD7B45">
        <w:t>e</w:t>
      </w:r>
      <w:r w:rsidRPr="0057323A">
        <w:t xml:space="preserve"> the SFS database until 2020</w:t>
      </w:r>
      <w:r w:rsidR="004C24C1">
        <w:t xml:space="preserve">, when the </w:t>
      </w:r>
      <w:r w:rsidR="00640DCE">
        <w:t xml:space="preserve">program evaluation </w:t>
      </w:r>
      <w:r w:rsidR="00670DFB">
        <w:t xml:space="preserve">and database management </w:t>
      </w:r>
      <w:r w:rsidR="00640DCE">
        <w:t>w</w:t>
      </w:r>
      <w:r w:rsidR="00670DFB">
        <w:t>ere</w:t>
      </w:r>
      <w:r w:rsidR="00640DCE">
        <w:t xml:space="preserve"> transitioned to ICJIA’s Center for Victim Studies</w:t>
      </w:r>
      <w:r w:rsidRPr="0057323A">
        <w:t xml:space="preserve">. </w:t>
      </w:r>
    </w:p>
    <w:p w14:paraId="7F57ECFD" w14:textId="6B2B9C38" w:rsidR="008D694D" w:rsidRDefault="008D694D" w:rsidP="0057323A"/>
    <w:p w14:paraId="0B09D694" w14:textId="54D41395" w:rsidR="008D084B" w:rsidRDefault="6F360B28" w:rsidP="0057323A">
      <w:r>
        <w:t xml:space="preserve">In October 2024, </w:t>
      </w:r>
      <w:r w:rsidR="3F149784">
        <w:t xml:space="preserve">Center for Victim Studies researchers </w:t>
      </w:r>
      <w:r w:rsidR="72A23224">
        <w:t>updated the evaluation protocol</w:t>
      </w:r>
      <w:r w:rsidR="782DB641">
        <w:t xml:space="preserve"> to </w:t>
      </w:r>
      <w:r w:rsidR="5243ECF7">
        <w:t xml:space="preserve">address </w:t>
      </w:r>
      <w:r w:rsidR="782DB641">
        <w:t xml:space="preserve">SFS </w:t>
      </w:r>
      <w:r w:rsidR="5243ECF7">
        <w:t xml:space="preserve">programmatic changes and </w:t>
      </w:r>
      <w:r w:rsidR="782DB641">
        <w:t xml:space="preserve">to </w:t>
      </w:r>
      <w:r w:rsidR="758A5E30">
        <w:t xml:space="preserve">reflect </w:t>
      </w:r>
      <w:r w:rsidR="47C44AEA">
        <w:t xml:space="preserve">ICJIA’s research </w:t>
      </w:r>
      <w:r w:rsidR="339131DA">
        <w:t>processes</w:t>
      </w:r>
      <w:r w:rsidR="0891D2DE">
        <w:t xml:space="preserve">. </w:t>
      </w:r>
      <w:r w:rsidR="15C6AC7B">
        <w:t xml:space="preserve">The previous version of the protocol </w:t>
      </w:r>
      <w:r w:rsidR="486EBB44">
        <w:t>was</w:t>
      </w:r>
      <w:r w:rsidR="15C6AC7B">
        <w:t xml:space="preserve"> last revised in 2013 by UIC researchers. To update the protocol</w:t>
      </w:r>
      <w:r w:rsidR="002B76A8">
        <w:t>,</w:t>
      </w:r>
      <w:r w:rsidR="49119FC5">
        <w:t xml:space="preserve"> </w:t>
      </w:r>
      <w:r w:rsidR="11531056">
        <w:t xml:space="preserve">ICJIA researchers </w:t>
      </w:r>
      <w:r w:rsidR="219697AA">
        <w:t>analyz</w:t>
      </w:r>
      <w:r w:rsidR="1AFDC2E2">
        <w:t>ed</w:t>
      </w:r>
      <w:r w:rsidR="219697AA">
        <w:t xml:space="preserve"> SFS current data collection trends and review</w:t>
      </w:r>
      <w:r w:rsidR="2399A204">
        <w:t>ed</w:t>
      </w:r>
      <w:r w:rsidR="219697AA">
        <w:t xml:space="preserve"> </w:t>
      </w:r>
      <w:r w:rsidR="709C76C1">
        <w:t xml:space="preserve">guidelines </w:t>
      </w:r>
      <w:r w:rsidR="310F6161">
        <w:t xml:space="preserve">for </w:t>
      </w:r>
      <w:r w:rsidR="219697AA">
        <w:t>administ</w:t>
      </w:r>
      <w:r w:rsidR="310F6161">
        <w:t>ering</w:t>
      </w:r>
      <w:r w:rsidR="219697AA">
        <w:t xml:space="preserve"> </w:t>
      </w:r>
      <w:r w:rsidR="06324BF7">
        <w:t xml:space="preserve">the standardized assessments. </w:t>
      </w:r>
      <w:r w:rsidR="3CB72C43">
        <w:t xml:space="preserve">Descriptions of each SFS form and assessment </w:t>
      </w:r>
      <w:r w:rsidR="1DE2ABBB">
        <w:t>are</w:t>
      </w:r>
      <w:r w:rsidR="3CB72C43">
        <w:t xml:space="preserve"> on page 2.</w:t>
      </w:r>
      <w:r w:rsidR="00FA1044">
        <w:t xml:space="preserve"> </w:t>
      </w:r>
    </w:p>
    <w:p w14:paraId="3B2F8716" w14:textId="77777777" w:rsidR="008D084B" w:rsidRDefault="008D084B" w:rsidP="0057323A"/>
    <w:p w14:paraId="38DBA0FE" w14:textId="2A1C0A28" w:rsidR="0057323A" w:rsidRDefault="001A57D4" w:rsidP="008304C0">
      <w:r>
        <w:t>For more information about SFS forms and assessments, training</w:t>
      </w:r>
      <w:r w:rsidR="006B07B1">
        <w:t xml:space="preserve"> on the assessments, </w:t>
      </w:r>
      <w:r w:rsidR="00126A5C">
        <w:t xml:space="preserve">and </w:t>
      </w:r>
      <w:r w:rsidR="006B07B1">
        <w:t>us</w:t>
      </w:r>
      <w:r w:rsidR="00126A5C">
        <w:t>ing</w:t>
      </w:r>
      <w:r w:rsidR="006B07B1">
        <w:t xml:space="preserve"> the database,</w:t>
      </w:r>
      <w:r w:rsidR="00454A5D">
        <w:t xml:space="preserve"> </w:t>
      </w:r>
      <w:r w:rsidR="006A562F">
        <w:t xml:space="preserve">and </w:t>
      </w:r>
      <w:r w:rsidR="0066597A">
        <w:t xml:space="preserve">to </w:t>
      </w:r>
      <w:r w:rsidR="00490A31">
        <w:t>ask additional questions not covered by this protocol,</w:t>
      </w:r>
      <w:r w:rsidR="006B07B1">
        <w:t xml:space="preserve"> please contact the Cent</w:t>
      </w:r>
      <w:r w:rsidR="0023070E">
        <w:t xml:space="preserve">er for Victim Studies research team. </w:t>
      </w:r>
    </w:p>
    <w:p w14:paraId="7727EE0A" w14:textId="77777777" w:rsidR="00977620" w:rsidRDefault="00977620" w:rsidP="003B122B"/>
    <w:p w14:paraId="06478E7A" w14:textId="06E3C569" w:rsidR="00415524" w:rsidRDefault="000D13CA" w:rsidP="007C7F53">
      <w:r w:rsidRPr="594D03F6">
        <w:rPr>
          <w:b/>
          <w:bCs/>
          <w:u w:val="single"/>
        </w:rPr>
        <w:t xml:space="preserve">Evaluation Protocol </w:t>
      </w:r>
      <w:r w:rsidR="00415524" w:rsidRPr="594D03F6">
        <w:rPr>
          <w:b/>
          <w:bCs/>
          <w:u w:val="single"/>
        </w:rPr>
        <w:t>Goals</w:t>
      </w:r>
      <w:r w:rsidR="00415524">
        <w:t xml:space="preserve">: </w:t>
      </w:r>
    </w:p>
    <w:p w14:paraId="5ABB2FBD" w14:textId="77777777" w:rsidR="004317A5" w:rsidRDefault="004317A5" w:rsidP="007C7F53">
      <w:pPr>
        <w:rPr>
          <w:color w:val="FF0000"/>
        </w:rPr>
      </w:pPr>
    </w:p>
    <w:p w14:paraId="21F1FC6D" w14:textId="7A66471C" w:rsidR="00F341C8" w:rsidRDefault="00F341C8" w:rsidP="594D03F6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594D03F6">
        <w:rPr>
          <w:color w:val="000000" w:themeColor="text1"/>
        </w:rPr>
        <w:t xml:space="preserve">Provide guidance to </w:t>
      </w:r>
      <w:r w:rsidR="44D359CB" w:rsidRPr="594D03F6">
        <w:rPr>
          <w:color w:val="000000" w:themeColor="text1"/>
        </w:rPr>
        <w:t>providers</w:t>
      </w:r>
      <w:r w:rsidRPr="594D03F6">
        <w:rPr>
          <w:color w:val="000000" w:themeColor="text1"/>
        </w:rPr>
        <w:t xml:space="preserve"> on the administration of standardized assessments</w:t>
      </w:r>
      <w:r w:rsidR="210ADD8B" w:rsidRPr="33B670B7">
        <w:rPr>
          <w:color w:val="000000" w:themeColor="text1"/>
        </w:rPr>
        <w:t xml:space="preserve"> and SFS intake/exit forms</w:t>
      </w:r>
      <w:r w:rsidRPr="594D03F6">
        <w:rPr>
          <w:color w:val="000000" w:themeColor="text1"/>
        </w:rPr>
        <w:t>. </w:t>
      </w:r>
    </w:p>
    <w:p w14:paraId="5B6D9DB0" w14:textId="60C715FA" w:rsidR="00F341C8" w:rsidRDefault="00F341C8" w:rsidP="00F341C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4C0DFE6A">
        <w:rPr>
          <w:color w:val="000000" w:themeColor="text1"/>
        </w:rPr>
        <w:t xml:space="preserve">Ensure evaluation </w:t>
      </w:r>
      <w:r w:rsidR="004F7676" w:rsidRPr="4C0DFE6A">
        <w:rPr>
          <w:color w:val="000000" w:themeColor="text1"/>
        </w:rPr>
        <w:t>guidelines</w:t>
      </w:r>
      <w:r w:rsidRPr="4C0DFE6A">
        <w:rPr>
          <w:color w:val="000000" w:themeColor="text1"/>
        </w:rPr>
        <w:t xml:space="preserve"> offer </w:t>
      </w:r>
      <w:r w:rsidR="00C56588" w:rsidRPr="4C0DFE6A">
        <w:rPr>
          <w:color w:val="000000" w:themeColor="text1"/>
        </w:rPr>
        <w:t xml:space="preserve">providers </w:t>
      </w:r>
      <w:r w:rsidRPr="4C0DFE6A">
        <w:rPr>
          <w:color w:val="000000" w:themeColor="text1"/>
        </w:rPr>
        <w:t xml:space="preserve">both structure and flexibility </w:t>
      </w:r>
      <w:r w:rsidR="00977759" w:rsidRPr="4C0DFE6A">
        <w:rPr>
          <w:color w:val="000000" w:themeColor="text1"/>
        </w:rPr>
        <w:t>in</w:t>
      </w:r>
      <w:r w:rsidRPr="4C0DFE6A">
        <w:rPr>
          <w:color w:val="000000" w:themeColor="text1"/>
        </w:rPr>
        <w:t xml:space="preserve"> the intake and treatment planning process</w:t>
      </w:r>
      <w:r w:rsidR="00C56588" w:rsidRPr="4C0DFE6A">
        <w:rPr>
          <w:color w:val="000000" w:themeColor="text1"/>
        </w:rPr>
        <w:t>.</w:t>
      </w:r>
    </w:p>
    <w:p w14:paraId="17475CB4" w14:textId="65C2E25C" w:rsidR="00F341C8" w:rsidRDefault="0084754D" w:rsidP="594D03F6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594D03F6">
        <w:rPr>
          <w:color w:val="000000" w:themeColor="text1"/>
        </w:rPr>
        <w:t>Provide</w:t>
      </w:r>
      <w:r w:rsidR="00A52FAE" w:rsidRPr="594D03F6">
        <w:rPr>
          <w:color w:val="000000" w:themeColor="text1"/>
        </w:rPr>
        <w:t xml:space="preserve"> </w:t>
      </w:r>
      <w:r w:rsidR="004C5777" w:rsidRPr="594D03F6">
        <w:rPr>
          <w:color w:val="000000" w:themeColor="text1"/>
        </w:rPr>
        <w:t xml:space="preserve">detailed </w:t>
      </w:r>
      <w:r w:rsidRPr="594D03F6">
        <w:rPr>
          <w:color w:val="000000" w:themeColor="text1"/>
        </w:rPr>
        <w:t xml:space="preserve">information on the </w:t>
      </w:r>
      <w:r w:rsidR="00561E17" w:rsidRPr="594D03F6">
        <w:rPr>
          <w:color w:val="000000" w:themeColor="text1"/>
        </w:rPr>
        <w:t>evaluation process t</w:t>
      </w:r>
      <w:r w:rsidR="005A63C1" w:rsidRPr="594D03F6">
        <w:rPr>
          <w:color w:val="000000" w:themeColor="text1"/>
        </w:rPr>
        <w:t>hat can be used to inform staff training and answer common evaluation-related questions</w:t>
      </w:r>
      <w:r w:rsidR="00F341C8" w:rsidRPr="594D03F6">
        <w:rPr>
          <w:color w:val="000000" w:themeColor="text1"/>
        </w:rPr>
        <w:t>. </w:t>
      </w:r>
    </w:p>
    <w:p w14:paraId="2A602B94" w14:textId="604075C5" w:rsidR="00054126" w:rsidRPr="00C00AED" w:rsidRDefault="00F341C8" w:rsidP="497263D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594D03F6">
        <w:rPr>
          <w:color w:val="000000" w:themeColor="text1"/>
        </w:rPr>
        <w:t xml:space="preserve">Enhance the quality and </w:t>
      </w:r>
      <w:r w:rsidR="00CF309E" w:rsidRPr="4C0DFE6A">
        <w:rPr>
          <w:color w:val="000000" w:themeColor="text1"/>
        </w:rPr>
        <w:t>completeness</w:t>
      </w:r>
      <w:r w:rsidRPr="594D03F6">
        <w:rPr>
          <w:color w:val="000000" w:themeColor="text1"/>
        </w:rPr>
        <w:t xml:space="preserve"> of </w:t>
      </w:r>
      <w:r w:rsidR="006C4759" w:rsidRPr="594D03F6">
        <w:rPr>
          <w:color w:val="000000" w:themeColor="text1"/>
        </w:rPr>
        <w:t xml:space="preserve">data collected by </w:t>
      </w:r>
      <w:r w:rsidR="5AA27A5E" w:rsidRPr="594D03F6">
        <w:rPr>
          <w:color w:val="000000" w:themeColor="text1"/>
        </w:rPr>
        <w:t>providers</w:t>
      </w:r>
      <w:r w:rsidRPr="594D03F6">
        <w:rPr>
          <w:color w:val="000000" w:themeColor="text1"/>
        </w:rPr>
        <w:t xml:space="preserve">. </w:t>
      </w:r>
    </w:p>
    <w:p w14:paraId="7962833D" w14:textId="3707EEF3" w:rsidR="00334C6D" w:rsidRDefault="008A13CF" w:rsidP="00A84A52">
      <w:pPr>
        <w:jc w:val="center"/>
      </w:pPr>
      <w:r w:rsidRPr="7D8850F7">
        <w:rPr>
          <w:b/>
          <w:bCs/>
        </w:rPr>
        <w:t>SFS Forms</w:t>
      </w:r>
    </w:p>
    <w:p w14:paraId="39582A67" w14:textId="77777777" w:rsidR="007868A0" w:rsidRDefault="007868A0" w:rsidP="007C7F53"/>
    <w:tbl>
      <w:tblPr>
        <w:tblW w:w="10687" w:type="dxa"/>
        <w:jc w:val="center"/>
        <w:tblLook w:val="04A0" w:firstRow="1" w:lastRow="0" w:firstColumn="1" w:lastColumn="0" w:noHBand="0" w:noVBand="1"/>
      </w:tblPr>
      <w:tblGrid>
        <w:gridCol w:w="1378"/>
        <w:gridCol w:w="1390"/>
        <w:gridCol w:w="1353"/>
        <w:gridCol w:w="6639"/>
      </w:tblGrid>
      <w:tr w:rsidR="004053C0" w14:paraId="3EF7514B" w14:textId="77777777" w:rsidTr="00533D70">
        <w:trPr>
          <w:trHeight w:val="64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32B7" w14:textId="40AE9DE3" w:rsidR="00E17B2F" w:rsidRPr="002808D0" w:rsidRDefault="008A571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>Form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3C9E" w14:textId="77777777" w:rsidR="00E17B2F" w:rsidRPr="002808D0" w:rsidRDefault="00E17B2F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>Abbreviated Title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64B2" w14:textId="50E82408" w:rsidR="00E17B2F" w:rsidRPr="002808D0" w:rsidRDefault="00E17B2F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 w:themeColor="text1"/>
                <w:sz w:val="22"/>
                <w:szCs w:val="20"/>
              </w:rPr>
              <w:t>Version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DEB2" w14:textId="77777777" w:rsidR="00E17B2F" w:rsidRPr="002808D0" w:rsidRDefault="00E17B2F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>Description</w:t>
            </w:r>
          </w:p>
        </w:tc>
      </w:tr>
      <w:tr w:rsidR="004053C0" w14:paraId="16F3C61B" w14:textId="77777777" w:rsidTr="00533D70">
        <w:trPr>
          <w:trHeight w:val="120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330" w14:textId="6FF28FC3" w:rsidR="00E17B2F" w:rsidRPr="002808D0" w:rsidRDefault="00E17B2F" w:rsidP="00CD2F72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>Background Information Form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336" w14:textId="77777777" w:rsidR="00E17B2F" w:rsidRPr="002808D0" w:rsidRDefault="00E17B2F" w:rsidP="00CD2F72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color w:val="000000"/>
                <w:sz w:val="22"/>
                <w:szCs w:val="20"/>
              </w:rPr>
              <w:t>BIF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00C" w14:textId="47820F6B" w:rsidR="000F0593" w:rsidRPr="002808D0" w:rsidRDefault="00E17B2F" w:rsidP="00CD2F72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808D0">
              <w:rPr>
                <w:color w:val="000000" w:themeColor="text1"/>
                <w:sz w:val="22"/>
                <w:szCs w:val="20"/>
              </w:rPr>
              <w:t xml:space="preserve">Version </w:t>
            </w:r>
            <w:r w:rsidR="000F0593" w:rsidRPr="002808D0">
              <w:rPr>
                <w:color w:val="000000" w:themeColor="text1"/>
                <w:sz w:val="22"/>
                <w:szCs w:val="20"/>
              </w:rPr>
              <w:t>Dated</w:t>
            </w:r>
          </w:p>
          <w:p w14:paraId="16038976" w14:textId="60DFC6AF" w:rsidR="00E17B2F" w:rsidRPr="002808D0" w:rsidRDefault="008E4229" w:rsidP="00CD2F72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sz w:val="22"/>
                <w:szCs w:val="20"/>
              </w:rPr>
              <w:t>10</w:t>
            </w:r>
            <w:r w:rsidR="002808D0">
              <w:rPr>
                <w:sz w:val="22"/>
                <w:szCs w:val="20"/>
              </w:rPr>
              <w:t>-</w:t>
            </w:r>
            <w:r w:rsidRPr="002808D0">
              <w:rPr>
                <w:sz w:val="22"/>
                <w:szCs w:val="20"/>
              </w:rPr>
              <w:t>1</w:t>
            </w:r>
            <w:r w:rsidR="002808D0">
              <w:rPr>
                <w:sz w:val="22"/>
                <w:szCs w:val="20"/>
              </w:rPr>
              <w:t>-</w:t>
            </w:r>
            <w:r w:rsidRPr="002808D0">
              <w:rPr>
                <w:sz w:val="22"/>
                <w:szCs w:val="20"/>
              </w:rPr>
              <w:t>24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DAC" w14:textId="63966525" w:rsidR="00E17B2F" w:rsidRPr="002808D0" w:rsidRDefault="00913822" w:rsidP="00832CFD">
            <w:pPr>
              <w:rPr>
                <w:color w:val="000000"/>
                <w:sz w:val="22"/>
                <w:szCs w:val="20"/>
              </w:rPr>
            </w:pPr>
            <w:r w:rsidRPr="002808D0">
              <w:rPr>
                <w:sz w:val="22"/>
                <w:szCs w:val="20"/>
              </w:rPr>
              <w:t>The BIF is an i</w:t>
            </w:r>
            <w:r w:rsidR="00DA4C26" w:rsidRPr="002808D0">
              <w:rPr>
                <w:sz w:val="22"/>
                <w:szCs w:val="20"/>
              </w:rPr>
              <w:t>ntake form</w:t>
            </w:r>
            <w:r w:rsidRPr="002808D0">
              <w:rPr>
                <w:sz w:val="22"/>
                <w:szCs w:val="20"/>
              </w:rPr>
              <w:t xml:space="preserve"> that is used to</w:t>
            </w:r>
            <w:r w:rsidR="00DA4C26" w:rsidRPr="002808D0">
              <w:rPr>
                <w:sz w:val="22"/>
                <w:szCs w:val="20"/>
              </w:rPr>
              <w:t xml:space="preserve"> gather demographic and background information on </w:t>
            </w:r>
            <w:r w:rsidR="00156459" w:rsidRPr="002808D0">
              <w:rPr>
                <w:sz w:val="22"/>
                <w:szCs w:val="20"/>
              </w:rPr>
              <w:t>child clients</w:t>
            </w:r>
            <w:r w:rsidR="00DA4C26" w:rsidRPr="002808D0">
              <w:rPr>
                <w:sz w:val="22"/>
                <w:szCs w:val="20"/>
              </w:rPr>
              <w:t xml:space="preserve"> and their families, such </w:t>
            </w:r>
            <w:r w:rsidR="00156459" w:rsidRPr="002808D0">
              <w:rPr>
                <w:sz w:val="22"/>
                <w:szCs w:val="20"/>
              </w:rPr>
              <w:t>as</w:t>
            </w:r>
            <w:r w:rsidR="00DA4C26" w:rsidRPr="002808D0">
              <w:rPr>
                <w:sz w:val="22"/>
                <w:szCs w:val="20"/>
              </w:rPr>
              <w:t xml:space="preserve"> children’s </w:t>
            </w:r>
            <w:r w:rsidR="009739AC" w:rsidRPr="002808D0">
              <w:rPr>
                <w:sz w:val="22"/>
                <w:szCs w:val="20"/>
              </w:rPr>
              <w:t xml:space="preserve">symptoms, </w:t>
            </w:r>
            <w:r w:rsidR="00DA4C26" w:rsidRPr="002808D0">
              <w:rPr>
                <w:sz w:val="22"/>
                <w:szCs w:val="20"/>
              </w:rPr>
              <w:t>and presenting problems</w:t>
            </w:r>
            <w:r w:rsidR="009739AC" w:rsidRPr="002808D0">
              <w:rPr>
                <w:sz w:val="22"/>
                <w:szCs w:val="20"/>
              </w:rPr>
              <w:t xml:space="preserve">, violence exposure types, </w:t>
            </w:r>
            <w:r w:rsidR="00931034" w:rsidRPr="002808D0">
              <w:rPr>
                <w:sz w:val="22"/>
                <w:szCs w:val="20"/>
              </w:rPr>
              <w:t>risk and protective factors,</w:t>
            </w:r>
            <w:r w:rsidR="00D1473E" w:rsidRPr="002808D0">
              <w:rPr>
                <w:sz w:val="22"/>
                <w:szCs w:val="20"/>
              </w:rPr>
              <w:t xml:space="preserve"> and medical and mental health history</w:t>
            </w:r>
            <w:r w:rsidR="00DA4C26" w:rsidRPr="002808D0">
              <w:rPr>
                <w:sz w:val="22"/>
                <w:szCs w:val="20"/>
              </w:rPr>
              <w:t xml:space="preserve">. The BIF helps tailor service provision to </w:t>
            </w:r>
            <w:r w:rsidR="00442C5E" w:rsidRPr="002808D0">
              <w:rPr>
                <w:sz w:val="22"/>
                <w:szCs w:val="20"/>
              </w:rPr>
              <w:t>children’s</w:t>
            </w:r>
            <w:r w:rsidR="0036252D" w:rsidRPr="002808D0">
              <w:rPr>
                <w:sz w:val="22"/>
                <w:szCs w:val="20"/>
              </w:rPr>
              <w:t xml:space="preserve"> and caregivers’ needs.</w:t>
            </w:r>
          </w:p>
        </w:tc>
      </w:tr>
      <w:tr w:rsidR="008A5719" w14:paraId="1A4853A9" w14:textId="77777777" w:rsidTr="00533D70">
        <w:trPr>
          <w:trHeight w:val="962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18B0" w14:textId="0691FCC2" w:rsidR="008A5719" w:rsidRPr="002808D0" w:rsidRDefault="008A5719" w:rsidP="00832CFD">
            <w:pPr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2808D0">
              <w:rPr>
                <w:b/>
                <w:color w:val="000000" w:themeColor="text1"/>
                <w:sz w:val="22"/>
                <w:szCs w:val="20"/>
              </w:rPr>
              <w:t>Family Referral Information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DA1A" w14:textId="3D8F42F5" w:rsidR="008A5719" w:rsidRPr="002808D0" w:rsidRDefault="0FBD1FF2" w:rsidP="00CD2F72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color w:val="000000" w:themeColor="text1"/>
                <w:sz w:val="22"/>
                <w:szCs w:val="20"/>
              </w:rPr>
              <w:t>N/A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D9D4" w14:textId="22FF976B" w:rsidR="008A5719" w:rsidRPr="002808D0" w:rsidRDefault="30BFDD24" w:rsidP="00CD2F72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808D0">
              <w:rPr>
                <w:color w:val="000000" w:themeColor="text1"/>
                <w:sz w:val="22"/>
                <w:szCs w:val="20"/>
              </w:rPr>
              <w:t>N/A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A60E" w14:textId="2B13290B" w:rsidR="008A5719" w:rsidRPr="002808D0" w:rsidRDefault="00D2606A" w:rsidP="00832CFD">
            <w:pPr>
              <w:rPr>
                <w:sz w:val="22"/>
                <w:szCs w:val="20"/>
              </w:rPr>
            </w:pPr>
            <w:r w:rsidRPr="002808D0">
              <w:rPr>
                <w:sz w:val="22"/>
                <w:szCs w:val="20"/>
              </w:rPr>
              <w:t xml:space="preserve">The Family Referral Information </w:t>
            </w:r>
            <w:r w:rsidR="675536A7" w:rsidRPr="002808D0">
              <w:rPr>
                <w:sz w:val="22"/>
                <w:szCs w:val="20"/>
              </w:rPr>
              <w:t>section</w:t>
            </w:r>
            <w:r w:rsidRPr="002808D0">
              <w:rPr>
                <w:sz w:val="22"/>
                <w:szCs w:val="20"/>
              </w:rPr>
              <w:t xml:space="preserve"> </w:t>
            </w:r>
            <w:r w:rsidR="002138F9" w:rsidRPr="002808D0">
              <w:rPr>
                <w:sz w:val="22"/>
                <w:szCs w:val="20"/>
              </w:rPr>
              <w:t>is</w:t>
            </w:r>
            <w:r w:rsidR="00F828A9" w:rsidRPr="002808D0">
              <w:rPr>
                <w:sz w:val="22"/>
                <w:szCs w:val="20"/>
              </w:rPr>
              <w:t xml:space="preserve"> a</w:t>
            </w:r>
            <w:r w:rsidR="000F56F1" w:rsidRPr="002808D0">
              <w:rPr>
                <w:sz w:val="22"/>
                <w:szCs w:val="20"/>
              </w:rPr>
              <w:t xml:space="preserve"> se</w:t>
            </w:r>
            <w:r w:rsidR="00F75EC2" w:rsidRPr="002808D0">
              <w:rPr>
                <w:sz w:val="22"/>
                <w:szCs w:val="20"/>
              </w:rPr>
              <w:t>t of questions</w:t>
            </w:r>
            <w:r w:rsidR="000F56F1" w:rsidRPr="002808D0">
              <w:rPr>
                <w:sz w:val="22"/>
                <w:szCs w:val="20"/>
              </w:rPr>
              <w:t xml:space="preserve"> in the</w:t>
            </w:r>
            <w:r w:rsidR="00F828A9" w:rsidRPr="002808D0">
              <w:rPr>
                <w:sz w:val="22"/>
                <w:szCs w:val="20"/>
              </w:rPr>
              <w:t xml:space="preserve"> database</w:t>
            </w:r>
            <w:r w:rsidR="002138F9" w:rsidRPr="002808D0">
              <w:rPr>
                <w:sz w:val="22"/>
                <w:szCs w:val="20"/>
              </w:rPr>
              <w:t xml:space="preserve"> used</w:t>
            </w:r>
            <w:r w:rsidR="006D33D7" w:rsidRPr="002808D0">
              <w:rPr>
                <w:sz w:val="22"/>
                <w:szCs w:val="20"/>
              </w:rPr>
              <w:t xml:space="preserve"> to i</w:t>
            </w:r>
            <w:r w:rsidR="00D82F7D" w:rsidRPr="002808D0">
              <w:rPr>
                <w:sz w:val="22"/>
                <w:szCs w:val="20"/>
              </w:rPr>
              <w:t>ndicate</w:t>
            </w:r>
            <w:r w:rsidR="006D33D7" w:rsidRPr="002808D0">
              <w:rPr>
                <w:sz w:val="22"/>
                <w:szCs w:val="20"/>
              </w:rPr>
              <w:t xml:space="preserve"> additional</w:t>
            </w:r>
            <w:r w:rsidR="009339BF" w:rsidRPr="002808D0">
              <w:rPr>
                <w:sz w:val="22"/>
                <w:szCs w:val="20"/>
              </w:rPr>
              <w:t xml:space="preserve"> </w:t>
            </w:r>
            <w:r w:rsidR="2869A539" w:rsidRPr="002808D0">
              <w:rPr>
                <w:sz w:val="22"/>
                <w:szCs w:val="20"/>
              </w:rPr>
              <w:t>service</w:t>
            </w:r>
            <w:r w:rsidR="00D82F7D" w:rsidRPr="002808D0">
              <w:rPr>
                <w:sz w:val="22"/>
                <w:szCs w:val="20"/>
              </w:rPr>
              <w:t xml:space="preserve"> </w:t>
            </w:r>
            <w:r w:rsidR="636BCFBE" w:rsidRPr="002808D0">
              <w:rPr>
                <w:sz w:val="22"/>
                <w:szCs w:val="20"/>
              </w:rPr>
              <w:t>need</w:t>
            </w:r>
            <w:r w:rsidR="3194D79B" w:rsidRPr="002808D0">
              <w:rPr>
                <w:sz w:val="22"/>
                <w:szCs w:val="20"/>
              </w:rPr>
              <w:t>s</w:t>
            </w:r>
            <w:r w:rsidR="00D33ED0" w:rsidRPr="002808D0">
              <w:rPr>
                <w:sz w:val="22"/>
                <w:szCs w:val="20"/>
              </w:rPr>
              <w:t>, service</w:t>
            </w:r>
            <w:r w:rsidR="004213A7" w:rsidRPr="002808D0" w:rsidDel="00D33ED0">
              <w:rPr>
                <w:sz w:val="22"/>
                <w:szCs w:val="20"/>
              </w:rPr>
              <w:t xml:space="preserve"> </w:t>
            </w:r>
            <w:r w:rsidR="007979C3" w:rsidRPr="002808D0">
              <w:rPr>
                <w:sz w:val="22"/>
                <w:szCs w:val="20"/>
              </w:rPr>
              <w:t xml:space="preserve">receipt, </w:t>
            </w:r>
            <w:r w:rsidR="004213A7" w:rsidRPr="002808D0">
              <w:rPr>
                <w:sz w:val="22"/>
                <w:szCs w:val="20"/>
              </w:rPr>
              <w:t>and referrals</w:t>
            </w:r>
            <w:r w:rsidR="00D82F7D" w:rsidRPr="002808D0">
              <w:rPr>
                <w:sz w:val="22"/>
                <w:szCs w:val="20"/>
              </w:rPr>
              <w:t xml:space="preserve"> made </w:t>
            </w:r>
            <w:r w:rsidR="56952D26" w:rsidRPr="002808D0">
              <w:rPr>
                <w:sz w:val="22"/>
                <w:szCs w:val="20"/>
              </w:rPr>
              <w:t>to</w:t>
            </w:r>
            <w:r w:rsidR="004213A7" w:rsidRPr="002808D0">
              <w:rPr>
                <w:sz w:val="22"/>
                <w:szCs w:val="20"/>
              </w:rPr>
              <w:t xml:space="preserve"> </w:t>
            </w:r>
            <w:r w:rsidR="00002229" w:rsidRPr="002808D0">
              <w:rPr>
                <w:sz w:val="22"/>
                <w:szCs w:val="20"/>
              </w:rPr>
              <w:t>clients</w:t>
            </w:r>
            <w:r w:rsidR="00A93773" w:rsidRPr="002808D0">
              <w:rPr>
                <w:sz w:val="22"/>
                <w:szCs w:val="20"/>
              </w:rPr>
              <w:t xml:space="preserve"> </w:t>
            </w:r>
            <w:r w:rsidR="00151C76" w:rsidRPr="002808D0">
              <w:rPr>
                <w:sz w:val="22"/>
                <w:szCs w:val="20"/>
              </w:rPr>
              <w:t xml:space="preserve">after </w:t>
            </w:r>
            <w:r w:rsidR="00080C59" w:rsidRPr="002808D0">
              <w:rPr>
                <w:sz w:val="22"/>
                <w:szCs w:val="20"/>
              </w:rPr>
              <w:t xml:space="preserve">exiting </w:t>
            </w:r>
            <w:r w:rsidR="4ECCD890" w:rsidRPr="002808D0">
              <w:rPr>
                <w:sz w:val="22"/>
                <w:szCs w:val="20"/>
              </w:rPr>
              <w:t>services</w:t>
            </w:r>
            <w:r w:rsidR="17707930" w:rsidRPr="002808D0">
              <w:rPr>
                <w:sz w:val="22"/>
                <w:szCs w:val="20"/>
              </w:rPr>
              <w:t>.</w:t>
            </w:r>
          </w:p>
        </w:tc>
      </w:tr>
      <w:tr w:rsidR="00CD2F72" w14:paraId="5B0B7F57" w14:textId="77777777" w:rsidTr="00533D70">
        <w:trPr>
          <w:trHeight w:val="638"/>
          <w:jc w:val="center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E99" w14:textId="41986C40" w:rsidR="00CD2F72" w:rsidRPr="002808D0" w:rsidRDefault="00CD2F72" w:rsidP="00CD2F72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>Completion of Services Forms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9D2" w14:textId="3417B89D" w:rsidR="00CD2F72" w:rsidRPr="002808D0" w:rsidRDefault="00CD2F72" w:rsidP="00CD2F72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color w:val="000000" w:themeColor="text1"/>
                <w:sz w:val="22"/>
                <w:szCs w:val="20"/>
              </w:rPr>
              <w:t>Caregiver CSF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0DA" w14:textId="0F7DA1EE" w:rsidR="00CD2F72" w:rsidRPr="002808D0" w:rsidRDefault="00CD2F72" w:rsidP="00CD2F72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808D0">
              <w:rPr>
                <w:color w:val="000000" w:themeColor="text1"/>
                <w:sz w:val="22"/>
                <w:szCs w:val="20"/>
              </w:rPr>
              <w:t>Version Dated</w:t>
            </w:r>
          </w:p>
          <w:p w14:paraId="403EB90B" w14:textId="2B3F8882" w:rsidR="00CD2F72" w:rsidRPr="002808D0" w:rsidRDefault="00CD2F72" w:rsidP="00CD2F72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sz w:val="22"/>
                <w:szCs w:val="20"/>
              </w:rPr>
              <w:t>06-01-14</w:t>
            </w:r>
          </w:p>
        </w:tc>
        <w:tc>
          <w:tcPr>
            <w:tcW w:w="66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6F9" w14:textId="191A4E79" w:rsidR="00CD2F72" w:rsidRPr="002808D0" w:rsidRDefault="00CD2F72" w:rsidP="00832CFD">
            <w:pPr>
              <w:rPr>
                <w:color w:val="000000"/>
                <w:sz w:val="22"/>
                <w:szCs w:val="20"/>
              </w:rPr>
            </w:pPr>
            <w:r w:rsidRPr="002808D0">
              <w:rPr>
                <w:sz w:val="22"/>
                <w:szCs w:val="20"/>
              </w:rPr>
              <w:t>The CSFs are exit forms</w:t>
            </w:r>
            <w:r w:rsidRPr="002808D0" w:rsidDel="00A67CF2">
              <w:rPr>
                <w:sz w:val="22"/>
                <w:szCs w:val="20"/>
              </w:rPr>
              <w:t xml:space="preserve"> </w:t>
            </w:r>
            <w:r w:rsidRPr="002808D0">
              <w:rPr>
                <w:sz w:val="22"/>
                <w:szCs w:val="20"/>
              </w:rPr>
              <w:t xml:space="preserve">used to gather information on a </w:t>
            </w:r>
            <w:r w:rsidR="00002229" w:rsidRPr="002808D0">
              <w:rPr>
                <w:sz w:val="22"/>
                <w:szCs w:val="20"/>
              </w:rPr>
              <w:t>client’s</w:t>
            </w:r>
            <w:r w:rsidRPr="002808D0">
              <w:rPr>
                <w:sz w:val="22"/>
                <w:szCs w:val="20"/>
              </w:rPr>
              <w:t xml:space="preserve"> progress and exit from services, such as types of services provided, treatment modalities used, treatment outcomes, and reason for leaving services. There is a separate CSF for the child and caregiver.</w:t>
            </w:r>
          </w:p>
        </w:tc>
      </w:tr>
      <w:tr w:rsidR="00CD2F72" w14:paraId="101C5256" w14:textId="77777777" w:rsidTr="00533D70">
        <w:trPr>
          <w:trHeight w:val="422"/>
          <w:jc w:val="center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803" w14:textId="77777777" w:rsidR="00CD2F72" w:rsidRPr="00426A27" w:rsidRDefault="00CD2F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0004" w14:textId="6E7E32D5" w:rsidR="00CD2F72" w:rsidRPr="00A51D8F" w:rsidRDefault="00CD2F7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51D8F">
              <w:rPr>
                <w:bCs/>
                <w:color w:val="000000" w:themeColor="text1"/>
                <w:sz w:val="20"/>
                <w:szCs w:val="20"/>
              </w:rPr>
              <w:t>Child CSF</w:t>
            </w: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8CFD" w14:textId="77777777" w:rsidR="00CD2F72" w:rsidRPr="6CBE7D97" w:rsidRDefault="00CD2F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C990" w14:textId="77777777" w:rsidR="00CD2F72" w:rsidRDefault="00CD2F72">
            <w:pPr>
              <w:rPr>
                <w:sz w:val="20"/>
                <w:szCs w:val="20"/>
              </w:rPr>
            </w:pPr>
          </w:p>
        </w:tc>
      </w:tr>
    </w:tbl>
    <w:p w14:paraId="0903760E" w14:textId="77777777" w:rsidR="008A5719" w:rsidRPr="003413E1" w:rsidRDefault="008A5719" w:rsidP="007C7F53">
      <w:pPr>
        <w:rPr>
          <w:b/>
        </w:rPr>
      </w:pPr>
    </w:p>
    <w:p w14:paraId="4B8F3FC8" w14:textId="537824F9" w:rsidR="008A5719" w:rsidRDefault="003413E1" w:rsidP="003413E1">
      <w:pPr>
        <w:jc w:val="center"/>
        <w:rPr>
          <w:b/>
        </w:rPr>
      </w:pPr>
      <w:r w:rsidRPr="003413E1">
        <w:rPr>
          <w:b/>
        </w:rPr>
        <w:t>Standardized Assessments</w:t>
      </w:r>
    </w:p>
    <w:p w14:paraId="05A9A478" w14:textId="77777777" w:rsidR="003413E1" w:rsidRPr="003413E1" w:rsidRDefault="003413E1" w:rsidP="003413E1">
      <w:pPr>
        <w:jc w:val="center"/>
        <w:rPr>
          <w:b/>
        </w:rPr>
      </w:pPr>
    </w:p>
    <w:tbl>
      <w:tblPr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1350"/>
        <w:gridCol w:w="6295"/>
      </w:tblGrid>
      <w:tr w:rsidR="00D710FE" w14:paraId="1A75EE97" w14:textId="77777777" w:rsidTr="000A5150">
        <w:trPr>
          <w:trHeight w:val="64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E0F8" w14:textId="77777777" w:rsidR="00D710FE" w:rsidRPr="002808D0" w:rsidRDefault="00D710FE" w:rsidP="00DD528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>Assessment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6C8E" w14:textId="77777777" w:rsidR="00D710FE" w:rsidRPr="002808D0" w:rsidRDefault="00D710FE" w:rsidP="00DD528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>Abbreviated Title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2AA0" w14:textId="2A46DF45" w:rsidR="00D710FE" w:rsidRPr="002808D0" w:rsidRDefault="00D710FE" w:rsidP="00DD528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>Edition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07F4" w14:textId="77777777" w:rsidR="00D710FE" w:rsidRPr="002808D0" w:rsidRDefault="00D710FE" w:rsidP="00DD528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>Description</w:t>
            </w:r>
          </w:p>
        </w:tc>
      </w:tr>
      <w:tr w:rsidR="008F4909" w14:paraId="0CB08090" w14:textId="77777777" w:rsidTr="000A5150">
        <w:trPr>
          <w:trHeight w:val="1007"/>
          <w:jc w:val="center"/>
        </w:trPr>
        <w:tc>
          <w:tcPr>
            <w:tcW w:w="1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D41" w14:textId="10516800" w:rsidR="008F4909" w:rsidRPr="002808D0" w:rsidRDefault="008F4909" w:rsidP="00DD528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>Child Behavior Checklist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B82" w14:textId="0873E4EE" w:rsidR="008F4909" w:rsidRPr="002808D0" w:rsidRDefault="008F4909" w:rsidP="00DD5289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color w:val="000000"/>
                <w:sz w:val="22"/>
                <w:szCs w:val="20"/>
              </w:rPr>
              <w:t>CBCL 1½-5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C58" w14:textId="36C71839" w:rsidR="008F4909" w:rsidRPr="002808D0" w:rsidRDefault="007406BE" w:rsidP="00DD5289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601 Edition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561" w14:textId="2C286F7F" w:rsidR="008F4909" w:rsidRPr="002808D0" w:rsidRDefault="008F4909" w:rsidP="00DD5289">
            <w:pPr>
              <w:rPr>
                <w:sz w:val="22"/>
                <w:szCs w:val="20"/>
              </w:rPr>
            </w:pPr>
            <w:r w:rsidRPr="002808D0">
              <w:rPr>
                <w:sz w:val="22"/>
                <w:szCs w:val="20"/>
              </w:rPr>
              <w:t>Measures the severity of emotional and behavioral problems in children</w:t>
            </w:r>
            <w:r w:rsidR="008E36F7" w:rsidRPr="002808D0">
              <w:rPr>
                <w:sz w:val="22"/>
                <w:szCs w:val="20"/>
              </w:rPr>
              <w:t xml:space="preserve"> (</w:t>
            </w:r>
            <w:r w:rsidR="000D145E" w:rsidRPr="002808D0">
              <w:rPr>
                <w:sz w:val="22"/>
                <w:szCs w:val="20"/>
              </w:rPr>
              <w:t>1</w:t>
            </w:r>
            <w:r w:rsidR="004254BA" w:rsidRPr="002808D0">
              <w:rPr>
                <w:sz w:val="22"/>
                <w:szCs w:val="20"/>
              </w:rPr>
              <w:t xml:space="preserve"> ½ to 5</w:t>
            </w:r>
            <w:r w:rsidR="00C1272C" w:rsidRPr="002808D0">
              <w:rPr>
                <w:sz w:val="22"/>
                <w:szCs w:val="20"/>
              </w:rPr>
              <w:t xml:space="preserve"> years old</w:t>
            </w:r>
            <w:r w:rsidR="00437236" w:rsidRPr="002808D0">
              <w:rPr>
                <w:sz w:val="22"/>
                <w:szCs w:val="20"/>
              </w:rPr>
              <w:t>)</w:t>
            </w:r>
            <w:r w:rsidRPr="002808D0">
              <w:rPr>
                <w:sz w:val="22"/>
                <w:szCs w:val="20"/>
              </w:rPr>
              <w:t xml:space="preserve"> on various syndrome scales, including emotional reactivity, anxiety/depression, somatic complaints, withdrawnness, attention problems, aggressive behavior, and sleep problems.</w:t>
            </w:r>
          </w:p>
          <w:p w14:paraId="4378CF2B" w14:textId="0E287B19" w:rsidR="008F4909" w:rsidRPr="002808D0" w:rsidRDefault="008F4909" w:rsidP="00DD5289">
            <w:pPr>
              <w:rPr>
                <w:color w:val="000000"/>
                <w:sz w:val="22"/>
                <w:szCs w:val="20"/>
              </w:rPr>
            </w:pPr>
          </w:p>
        </w:tc>
      </w:tr>
      <w:tr w:rsidR="008F4909" w14:paraId="7E1982F4" w14:textId="77777777" w:rsidTr="000A5150">
        <w:trPr>
          <w:trHeight w:val="1088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E55E" w14:textId="77777777" w:rsidR="008F4909" w:rsidRPr="002808D0" w:rsidRDefault="008F4909" w:rsidP="00DD528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3C7C" w14:textId="4017E798" w:rsidR="008F4909" w:rsidRPr="002808D0" w:rsidRDefault="008F4909" w:rsidP="00DD5289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color w:val="000000"/>
                <w:sz w:val="22"/>
                <w:szCs w:val="20"/>
              </w:rPr>
              <w:t>CBCL 6-18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4C1E" w14:textId="38866C0F" w:rsidR="008F4909" w:rsidRPr="002808D0" w:rsidRDefault="007406BE" w:rsidP="00DD5289">
            <w:pPr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201 Edition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0A65" w14:textId="3D89FDD4" w:rsidR="008F4909" w:rsidRPr="002808D0" w:rsidRDefault="000D145E" w:rsidP="00DD5289">
            <w:pPr>
              <w:rPr>
                <w:sz w:val="22"/>
                <w:szCs w:val="20"/>
              </w:rPr>
            </w:pPr>
            <w:r w:rsidRPr="002808D0">
              <w:rPr>
                <w:sz w:val="22"/>
                <w:szCs w:val="20"/>
              </w:rPr>
              <w:t>Measures the severity of emotional and behavioral problems in children</w:t>
            </w:r>
            <w:r w:rsidR="00437236" w:rsidRPr="002808D0">
              <w:rPr>
                <w:sz w:val="22"/>
                <w:szCs w:val="20"/>
              </w:rPr>
              <w:t xml:space="preserve"> (</w:t>
            </w:r>
            <w:r w:rsidR="00C1272C" w:rsidRPr="002808D0">
              <w:rPr>
                <w:sz w:val="22"/>
                <w:szCs w:val="20"/>
              </w:rPr>
              <w:t>6 to 18 years old</w:t>
            </w:r>
            <w:r w:rsidR="00437236" w:rsidRPr="002808D0">
              <w:rPr>
                <w:sz w:val="22"/>
                <w:szCs w:val="20"/>
              </w:rPr>
              <w:t>)</w:t>
            </w:r>
            <w:r w:rsidRPr="002808D0">
              <w:rPr>
                <w:sz w:val="22"/>
                <w:szCs w:val="20"/>
              </w:rPr>
              <w:t xml:space="preserve"> on various syndrome scales, including anxiety/depression, somatic complaints, withdrawnness, attention problems,</w:t>
            </w:r>
            <w:r w:rsidR="00F063F7" w:rsidRPr="002808D0">
              <w:rPr>
                <w:sz w:val="22"/>
                <w:szCs w:val="20"/>
              </w:rPr>
              <w:t xml:space="preserve"> social problems, thought problems, </w:t>
            </w:r>
            <w:r w:rsidRPr="002808D0">
              <w:rPr>
                <w:sz w:val="22"/>
                <w:szCs w:val="20"/>
              </w:rPr>
              <w:t xml:space="preserve">aggressive behavior, and </w:t>
            </w:r>
            <w:r w:rsidR="00FF387D" w:rsidRPr="002808D0">
              <w:rPr>
                <w:sz w:val="22"/>
                <w:szCs w:val="20"/>
              </w:rPr>
              <w:t>rule breaking behavior.</w:t>
            </w:r>
          </w:p>
        </w:tc>
      </w:tr>
      <w:tr w:rsidR="003413E1" w14:paraId="01624619" w14:textId="77777777" w:rsidTr="000A5150">
        <w:trPr>
          <w:trHeight w:val="674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C2EA" w14:textId="3DEC9193" w:rsidR="003413E1" w:rsidRPr="002808D0" w:rsidRDefault="003413E1" w:rsidP="00DD528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 xml:space="preserve">Parenting Stress Index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A76" w14:textId="2B737210" w:rsidR="003413E1" w:rsidRPr="002808D0" w:rsidRDefault="003413E1" w:rsidP="00DD5289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color w:val="000000"/>
                <w:sz w:val="22"/>
                <w:szCs w:val="20"/>
              </w:rPr>
              <w:t>PSI-4</w:t>
            </w:r>
            <w:r>
              <w:rPr>
                <w:color w:val="000000"/>
                <w:sz w:val="22"/>
                <w:szCs w:val="20"/>
              </w:rPr>
              <w:t>-</w:t>
            </w:r>
            <w:r w:rsidRPr="002808D0">
              <w:rPr>
                <w:color w:val="000000"/>
                <w:sz w:val="22"/>
                <w:szCs w:val="20"/>
              </w:rPr>
              <w:t>SF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996" w14:textId="1B93787E" w:rsidR="003413E1" w:rsidRPr="002808D0" w:rsidRDefault="003413E1" w:rsidP="00DD5289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color w:val="000000"/>
                <w:sz w:val="22"/>
                <w:szCs w:val="20"/>
              </w:rPr>
              <w:t>4th Edition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8742" w14:textId="417204D0" w:rsidR="003413E1" w:rsidRPr="002808D0" w:rsidRDefault="003413E1" w:rsidP="00DD5289">
            <w:pPr>
              <w:rPr>
                <w:sz w:val="22"/>
                <w:szCs w:val="20"/>
              </w:rPr>
            </w:pPr>
            <w:r w:rsidRPr="002808D0">
              <w:rPr>
                <w:sz w:val="22"/>
                <w:szCs w:val="20"/>
              </w:rPr>
              <w:t>Measures the level of stress that caregivers</w:t>
            </w:r>
            <w:r w:rsidR="004625F4" w:rsidRPr="002808D0">
              <w:rPr>
                <w:sz w:val="22"/>
                <w:szCs w:val="20"/>
              </w:rPr>
              <w:t>’</w:t>
            </w:r>
            <w:r w:rsidRPr="002808D0">
              <w:rPr>
                <w:sz w:val="22"/>
                <w:szCs w:val="20"/>
              </w:rPr>
              <w:t xml:space="preserve"> experience based on their roles as parents, their parent-child interactions, and their child’s temperament. </w:t>
            </w:r>
            <w:r w:rsidR="009F2424" w:rsidRPr="002808D0">
              <w:rPr>
                <w:sz w:val="22"/>
                <w:szCs w:val="20"/>
              </w:rPr>
              <w:t>The PSI</w:t>
            </w:r>
            <w:r w:rsidR="0031597F" w:rsidRPr="002808D0">
              <w:rPr>
                <w:sz w:val="22"/>
                <w:szCs w:val="20"/>
              </w:rPr>
              <w:t xml:space="preserve"> should only be used</w:t>
            </w:r>
            <w:r w:rsidR="00FA219B" w:rsidRPr="002808D0">
              <w:rPr>
                <w:sz w:val="22"/>
                <w:szCs w:val="20"/>
              </w:rPr>
              <w:t xml:space="preserve"> for children who are 12 years old and younger. </w:t>
            </w:r>
          </w:p>
          <w:p w14:paraId="0F0301A1" w14:textId="77777777" w:rsidR="003413E1" w:rsidRPr="002808D0" w:rsidRDefault="003413E1" w:rsidP="00DD5289">
            <w:pPr>
              <w:rPr>
                <w:color w:val="000000"/>
                <w:sz w:val="22"/>
                <w:szCs w:val="20"/>
              </w:rPr>
            </w:pPr>
          </w:p>
        </w:tc>
      </w:tr>
      <w:tr w:rsidR="003413E1" w14:paraId="72800E1A" w14:textId="77777777" w:rsidTr="000A5150">
        <w:trPr>
          <w:trHeight w:val="107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0EF" w14:textId="7BAE195C" w:rsidR="003413E1" w:rsidRPr="002808D0" w:rsidRDefault="003413E1" w:rsidP="00DD528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 xml:space="preserve">Ages &amp; Stages Questionnaire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EFA" w14:textId="17C4B719" w:rsidR="003413E1" w:rsidRPr="002808D0" w:rsidRDefault="003413E1" w:rsidP="00DD5289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color w:val="000000"/>
                <w:sz w:val="22"/>
                <w:szCs w:val="20"/>
              </w:rPr>
              <w:t>ASQ-3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D1C" w14:textId="528FEAD7" w:rsidR="003413E1" w:rsidRPr="002808D0" w:rsidRDefault="003413E1" w:rsidP="00DD5289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color w:val="000000"/>
                <w:sz w:val="22"/>
                <w:szCs w:val="20"/>
              </w:rPr>
              <w:t>3rd Edition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F93" w14:textId="04990275" w:rsidR="003413E1" w:rsidRPr="002808D0" w:rsidRDefault="00144536" w:rsidP="00DD5289">
            <w:pPr>
              <w:rPr>
                <w:color w:val="000000"/>
                <w:sz w:val="22"/>
                <w:szCs w:val="20"/>
              </w:rPr>
            </w:pPr>
            <w:r w:rsidRPr="002808D0">
              <w:rPr>
                <w:sz w:val="22"/>
                <w:szCs w:val="20"/>
              </w:rPr>
              <w:t>Identifies</w:t>
            </w:r>
            <w:r w:rsidR="00525986" w:rsidRPr="002808D0">
              <w:rPr>
                <w:sz w:val="22"/>
                <w:szCs w:val="20"/>
              </w:rPr>
              <w:t xml:space="preserve"> </w:t>
            </w:r>
            <w:r w:rsidR="003413E1" w:rsidRPr="002808D0">
              <w:rPr>
                <w:sz w:val="22"/>
                <w:szCs w:val="20"/>
              </w:rPr>
              <w:t>infants and young children who are at risk for developmental delays or disorders and, therefore, may need early intervention services. This questionnaire addresses five key developmental areas: communication, gross motor, fine motor, problem solving, and personal-social skills.</w:t>
            </w:r>
          </w:p>
        </w:tc>
      </w:tr>
      <w:tr w:rsidR="003413E1" w14:paraId="5487233A" w14:textId="77777777" w:rsidTr="000A5150">
        <w:trPr>
          <w:trHeight w:val="1291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206" w14:textId="4F1F6010" w:rsidR="003413E1" w:rsidRPr="002808D0" w:rsidRDefault="003413E1" w:rsidP="00DD528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2808D0">
              <w:rPr>
                <w:b/>
                <w:color w:val="000000"/>
                <w:sz w:val="22"/>
                <w:szCs w:val="20"/>
              </w:rPr>
              <w:t>Ages &amp; Stages Questionnair</w:t>
            </w:r>
            <w:r>
              <w:rPr>
                <w:b/>
                <w:color w:val="000000"/>
                <w:sz w:val="22"/>
                <w:szCs w:val="20"/>
              </w:rPr>
              <w:t>e</w:t>
            </w:r>
            <w:r w:rsidRPr="002808D0">
              <w:rPr>
                <w:b/>
                <w:color w:val="000000"/>
                <w:sz w:val="22"/>
                <w:szCs w:val="20"/>
              </w:rPr>
              <w:t xml:space="preserve">: Social-Emotional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D48" w14:textId="3B2F5D88" w:rsidR="003413E1" w:rsidRPr="002808D0" w:rsidRDefault="003413E1" w:rsidP="00DD5289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color w:val="000000"/>
                <w:sz w:val="22"/>
                <w:szCs w:val="20"/>
              </w:rPr>
              <w:t>ASQ:SE-2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97A" w14:textId="36370868" w:rsidR="003413E1" w:rsidRPr="002808D0" w:rsidRDefault="003413E1" w:rsidP="00DD5289">
            <w:pPr>
              <w:jc w:val="center"/>
              <w:rPr>
                <w:color w:val="000000"/>
                <w:sz w:val="22"/>
                <w:szCs w:val="20"/>
              </w:rPr>
            </w:pPr>
            <w:r w:rsidRPr="002808D0">
              <w:rPr>
                <w:color w:val="000000"/>
                <w:sz w:val="22"/>
                <w:szCs w:val="20"/>
              </w:rPr>
              <w:t>2nd Edition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D5FC" w14:textId="7CFFF7A0" w:rsidR="003413E1" w:rsidRPr="002808D0" w:rsidRDefault="00144536" w:rsidP="00DD5289">
            <w:pPr>
              <w:rPr>
                <w:sz w:val="22"/>
                <w:szCs w:val="20"/>
              </w:rPr>
            </w:pPr>
            <w:r w:rsidRPr="002808D0">
              <w:rPr>
                <w:sz w:val="22"/>
                <w:szCs w:val="20"/>
              </w:rPr>
              <w:t>Identifies</w:t>
            </w:r>
            <w:r w:rsidR="003413E1" w:rsidRPr="002808D0">
              <w:rPr>
                <w:sz w:val="22"/>
                <w:szCs w:val="20"/>
              </w:rPr>
              <w:t xml:space="preserve"> infants and young children who are at risk of having emotional and social disorders. Items on this questionnaire screen children in seven areas of social-emotional development</w:t>
            </w:r>
            <w:r w:rsidR="009052C4" w:rsidRPr="002808D0">
              <w:rPr>
                <w:sz w:val="22"/>
                <w:szCs w:val="20"/>
              </w:rPr>
              <w:t xml:space="preserve">: </w:t>
            </w:r>
            <w:r w:rsidR="003413E1" w:rsidRPr="002808D0">
              <w:rPr>
                <w:sz w:val="22"/>
                <w:szCs w:val="20"/>
              </w:rPr>
              <w:t>self-regulation, compliance, social-communication, adaptive functioning, autonomy, affect, and interaction with people.</w:t>
            </w:r>
          </w:p>
          <w:p w14:paraId="673E1A63" w14:textId="4B1D065C" w:rsidR="003413E1" w:rsidRPr="002808D0" w:rsidRDefault="003413E1" w:rsidP="00DD5289">
            <w:pPr>
              <w:rPr>
                <w:color w:val="000000"/>
                <w:sz w:val="22"/>
                <w:szCs w:val="20"/>
              </w:rPr>
            </w:pPr>
          </w:p>
        </w:tc>
      </w:tr>
    </w:tbl>
    <w:p w14:paraId="3CE6C69B" w14:textId="67C59019" w:rsidR="003A537D" w:rsidRDefault="003A537D" w:rsidP="007C7F53"/>
    <w:p w14:paraId="213608EB" w14:textId="3100E02F" w:rsidR="000017EF" w:rsidRDefault="000017EF" w:rsidP="007C7F53"/>
    <w:p w14:paraId="7CE3B138" w14:textId="77777777" w:rsidR="000017EF" w:rsidRDefault="000017EF" w:rsidP="007C7F53"/>
    <w:p w14:paraId="2737C0FB" w14:textId="77777777" w:rsidR="0089708A" w:rsidRDefault="0089708A" w:rsidP="005A2142">
      <w:pPr>
        <w:rPr>
          <w:b/>
          <w:bCs/>
        </w:rPr>
      </w:pPr>
    </w:p>
    <w:p w14:paraId="6B747D2A" w14:textId="79A60656" w:rsidR="00C66F25" w:rsidRDefault="009A7DA3" w:rsidP="009A7DA3">
      <w:pPr>
        <w:jc w:val="center"/>
        <w:rPr>
          <w:b/>
          <w:color w:val="FF0000"/>
        </w:rPr>
      </w:pPr>
      <w:r w:rsidRPr="00163579">
        <w:rPr>
          <w:b/>
          <w:bCs/>
        </w:rPr>
        <w:t>Evaluation Protocol</w:t>
      </w:r>
      <w:r w:rsidR="000A640A">
        <w:rPr>
          <w:b/>
          <w:bCs/>
        </w:rPr>
        <w:t xml:space="preserve"> </w:t>
      </w:r>
    </w:p>
    <w:p w14:paraId="78079054" w14:textId="77777777" w:rsidR="00531BCB" w:rsidRDefault="00531BCB" w:rsidP="009A7DA3">
      <w:pPr>
        <w:jc w:val="center"/>
        <w:rPr>
          <w:b/>
          <w:bCs/>
          <w:color w:val="FF0000"/>
        </w:rPr>
      </w:pPr>
    </w:p>
    <w:p w14:paraId="1664B546" w14:textId="1AF0FA9C" w:rsidR="00560D5C" w:rsidRDefault="001B3880" w:rsidP="00560D5C">
      <w:pPr>
        <w:rPr>
          <w:b/>
          <w:u w:val="single"/>
        </w:rPr>
      </w:pPr>
      <w:r>
        <w:rPr>
          <w:b/>
          <w:u w:val="single"/>
        </w:rPr>
        <w:t xml:space="preserve">I. </w:t>
      </w:r>
      <w:r w:rsidR="00531BCB" w:rsidRPr="00FE39D1">
        <w:rPr>
          <w:b/>
          <w:u w:val="single"/>
        </w:rPr>
        <w:t>Informed Consent Procedure</w:t>
      </w:r>
      <w:r w:rsidR="00902EBF">
        <w:rPr>
          <w:b/>
          <w:u w:val="single"/>
        </w:rPr>
        <w:t>:</w:t>
      </w:r>
    </w:p>
    <w:p w14:paraId="5139BD2E" w14:textId="48079F2D" w:rsidR="008071BE" w:rsidRDefault="125056C9" w:rsidP="3D4737F1">
      <w:pPr>
        <w:pStyle w:val="NormalWeb"/>
        <w:spacing w:before="240" w:beforeAutospacing="0" w:after="240" w:afterAutospacing="0"/>
        <w:rPr>
          <w:color w:val="000000"/>
        </w:rPr>
      </w:pPr>
      <w:r w:rsidRPr="3D4737F1">
        <w:rPr>
          <w:color w:val="000000" w:themeColor="text1"/>
        </w:rPr>
        <w:t xml:space="preserve">Data collected from participating </w:t>
      </w:r>
      <w:r w:rsidR="00002229">
        <w:rPr>
          <w:color w:val="000000" w:themeColor="text1"/>
        </w:rPr>
        <w:t>clients</w:t>
      </w:r>
      <w:r w:rsidRPr="3D4737F1">
        <w:rPr>
          <w:color w:val="000000" w:themeColor="text1"/>
        </w:rPr>
        <w:t xml:space="preserve"> are used to inform programmatic purposes and do not contribute to generalizable knowledge. Thus, the Institutional Review Board does not consider the SFS evaluation study </w:t>
      </w:r>
      <w:r w:rsidR="00B8E9FD" w:rsidRPr="3D4737F1">
        <w:rPr>
          <w:color w:val="000000" w:themeColor="text1"/>
        </w:rPr>
        <w:t>to be</w:t>
      </w:r>
      <w:r w:rsidR="0486AD1B" w:rsidRPr="3D4737F1">
        <w:rPr>
          <w:color w:val="000000" w:themeColor="text1"/>
        </w:rPr>
        <w:t xml:space="preserve"> research</w:t>
      </w:r>
      <w:r w:rsidR="571A7F60" w:rsidRPr="3D4737F1">
        <w:rPr>
          <w:color w:val="000000" w:themeColor="text1"/>
        </w:rPr>
        <w:t xml:space="preserve"> and does not </w:t>
      </w:r>
      <w:r w:rsidR="5775EE2D" w:rsidRPr="3D4737F1">
        <w:rPr>
          <w:color w:val="000000" w:themeColor="text1"/>
        </w:rPr>
        <w:t>require</w:t>
      </w:r>
      <w:r w:rsidR="571A7F60" w:rsidRPr="3D4737F1">
        <w:rPr>
          <w:color w:val="000000" w:themeColor="text1"/>
        </w:rPr>
        <w:t xml:space="preserve"> </w:t>
      </w:r>
      <w:r w:rsidR="7A445CE0" w:rsidRPr="3D4737F1">
        <w:rPr>
          <w:color w:val="000000" w:themeColor="text1"/>
        </w:rPr>
        <w:t>a separate informed consent process</w:t>
      </w:r>
      <w:r w:rsidRPr="3D4737F1">
        <w:rPr>
          <w:color w:val="000000" w:themeColor="text1"/>
        </w:rPr>
        <w:t>.</w:t>
      </w:r>
      <w:r w:rsidR="1DA72A49" w:rsidRPr="3D4737F1">
        <w:rPr>
          <w:color w:val="000000" w:themeColor="text1"/>
        </w:rPr>
        <w:t xml:space="preserve"> </w:t>
      </w:r>
      <w:r w:rsidR="6BB4A665" w:rsidRPr="3D4737F1">
        <w:rPr>
          <w:color w:val="000000" w:themeColor="text1"/>
        </w:rPr>
        <w:t>T</w:t>
      </w:r>
      <w:r w:rsidRPr="3D4737F1">
        <w:rPr>
          <w:color w:val="000000" w:themeColor="text1"/>
        </w:rPr>
        <w:t xml:space="preserve">o inform </w:t>
      </w:r>
      <w:r w:rsidR="00002229">
        <w:rPr>
          <w:color w:val="000000" w:themeColor="text1"/>
        </w:rPr>
        <w:t>clients</w:t>
      </w:r>
      <w:r w:rsidRPr="3D4737F1">
        <w:rPr>
          <w:color w:val="000000" w:themeColor="text1"/>
        </w:rPr>
        <w:t xml:space="preserve"> about </w:t>
      </w:r>
      <w:r w:rsidR="6BB4A665" w:rsidRPr="3D4737F1">
        <w:rPr>
          <w:color w:val="000000" w:themeColor="text1"/>
        </w:rPr>
        <w:t xml:space="preserve">the program </w:t>
      </w:r>
      <w:r w:rsidRPr="3D4737F1">
        <w:rPr>
          <w:color w:val="000000" w:themeColor="text1"/>
        </w:rPr>
        <w:t>evaluation, providers are to include the following sentences in their consent for services</w:t>
      </w:r>
      <w:r w:rsidR="009A46AF">
        <w:rPr>
          <w:color w:val="000000" w:themeColor="text1"/>
        </w:rPr>
        <w:t xml:space="preserve"> </w:t>
      </w:r>
      <w:r w:rsidR="009A46AF" w:rsidRPr="00990F82">
        <w:rPr>
          <w:b/>
          <w:color w:val="000000" w:themeColor="text1"/>
        </w:rPr>
        <w:t>by July 1, 2025</w:t>
      </w:r>
      <w:r w:rsidRPr="3D4737F1">
        <w:rPr>
          <w:color w:val="000000" w:themeColor="text1"/>
        </w:rPr>
        <w:t>:</w:t>
      </w:r>
    </w:p>
    <w:p w14:paraId="1E728AF5" w14:textId="685361FE" w:rsidR="006C240C" w:rsidRPr="008C09C5" w:rsidRDefault="009B5333" w:rsidP="008071BE">
      <w:pPr>
        <w:pStyle w:val="NormalWeb"/>
        <w:spacing w:before="240" w:beforeAutospacing="0" w:after="240" w:afterAutospacing="0"/>
        <w:rPr>
          <w:rStyle w:val="normaltextrun"/>
          <w:i/>
          <w:color w:val="000000"/>
        </w:rPr>
      </w:pPr>
      <w:r w:rsidRPr="008C09C5">
        <w:rPr>
          <w:rStyle w:val="normaltextrun"/>
          <w:i/>
          <w:color w:val="000000"/>
          <w:shd w:val="clear" w:color="auto" w:fill="FFFFFF"/>
        </w:rPr>
        <w:t>“</w:t>
      </w:r>
      <w:r w:rsidR="00B92CFD" w:rsidRPr="008C09C5">
        <w:rPr>
          <w:rStyle w:val="normaltextrun"/>
          <w:i/>
          <w:color w:val="000000"/>
          <w:shd w:val="clear" w:color="auto" w:fill="FFFFFF"/>
        </w:rPr>
        <w:t xml:space="preserve">To provide the best possible services to its clients, this site participates in </w:t>
      </w:r>
      <w:r w:rsidR="00AB441C" w:rsidRPr="008C09C5">
        <w:rPr>
          <w:rStyle w:val="normaltextrun"/>
          <w:i/>
          <w:color w:val="000000"/>
          <w:shd w:val="clear" w:color="auto" w:fill="FFFFFF"/>
        </w:rPr>
        <w:t>evaluation activities</w:t>
      </w:r>
      <w:r w:rsidR="00CE59CF" w:rsidRPr="008C09C5">
        <w:rPr>
          <w:rStyle w:val="normaltextrun"/>
          <w:i/>
          <w:color w:val="000000"/>
          <w:shd w:val="clear" w:color="auto" w:fill="FFFFFF"/>
        </w:rPr>
        <w:t xml:space="preserve"> led by the Illinois Criminal Justice Information Authority (ICJIA)</w:t>
      </w:r>
      <w:r w:rsidR="001625F3">
        <w:rPr>
          <w:rStyle w:val="normaltextrun"/>
          <w:i/>
          <w:color w:val="000000"/>
          <w:shd w:val="clear" w:color="auto" w:fill="FFFFFF"/>
        </w:rPr>
        <w:t>’s Center for Victim Studies</w:t>
      </w:r>
      <w:r w:rsidR="00CE59CF" w:rsidRPr="008C09C5">
        <w:rPr>
          <w:rStyle w:val="normaltextrun"/>
          <w:i/>
          <w:color w:val="000000"/>
          <w:shd w:val="clear" w:color="auto" w:fill="FFFFFF"/>
        </w:rPr>
        <w:t xml:space="preserve">, a </w:t>
      </w:r>
      <w:r w:rsidR="004015FB" w:rsidRPr="329B465D">
        <w:rPr>
          <w:rStyle w:val="normaltextrun"/>
          <w:i/>
          <w:color w:val="000000"/>
          <w:shd w:val="clear" w:color="auto" w:fill="FFFFFF"/>
        </w:rPr>
        <w:t>research center</w:t>
      </w:r>
      <w:r w:rsidR="00947893" w:rsidRPr="329B465D">
        <w:rPr>
          <w:rStyle w:val="normaltextrun"/>
          <w:i/>
          <w:color w:val="000000"/>
          <w:shd w:val="clear" w:color="auto" w:fill="FFFFFF"/>
        </w:rPr>
        <w:t xml:space="preserve"> that </w:t>
      </w:r>
      <w:r w:rsidR="00585058" w:rsidRPr="329B465D">
        <w:rPr>
          <w:rStyle w:val="normaltextrun"/>
          <w:i/>
          <w:color w:val="000000"/>
          <w:shd w:val="clear" w:color="auto" w:fill="FFFFFF"/>
        </w:rPr>
        <w:t>studies victimization</w:t>
      </w:r>
      <w:r w:rsidR="00F27FF4" w:rsidRPr="329B465D">
        <w:rPr>
          <w:rStyle w:val="normaltextrun"/>
          <w:i/>
          <w:color w:val="000000"/>
          <w:shd w:val="clear" w:color="auto" w:fill="FFFFFF"/>
        </w:rPr>
        <w:t xml:space="preserve"> and trauma</w:t>
      </w:r>
      <w:r w:rsidR="00430363" w:rsidRPr="329B465D">
        <w:rPr>
          <w:rStyle w:val="normaltextrun"/>
          <w:i/>
          <w:color w:val="000000"/>
          <w:shd w:val="clear" w:color="auto" w:fill="FFFFFF"/>
        </w:rPr>
        <w:t xml:space="preserve"> </w:t>
      </w:r>
      <w:r w:rsidR="007A7A57" w:rsidRPr="329B465D">
        <w:rPr>
          <w:rStyle w:val="normaltextrun"/>
          <w:i/>
          <w:color w:val="000000"/>
          <w:shd w:val="clear" w:color="auto" w:fill="FFFFFF"/>
        </w:rPr>
        <w:t xml:space="preserve">as well as </w:t>
      </w:r>
      <w:r w:rsidR="006C4F7A" w:rsidRPr="329B465D">
        <w:rPr>
          <w:rStyle w:val="normaltextrun"/>
          <w:i/>
          <w:color w:val="000000"/>
          <w:shd w:val="clear" w:color="auto" w:fill="FFFFFF"/>
        </w:rPr>
        <w:t xml:space="preserve">programs </w:t>
      </w:r>
      <w:r w:rsidR="00D40212" w:rsidRPr="329B465D">
        <w:rPr>
          <w:rStyle w:val="normaltextrun"/>
          <w:i/>
          <w:color w:val="000000"/>
          <w:shd w:val="clear" w:color="auto" w:fill="FFFFFF"/>
        </w:rPr>
        <w:t xml:space="preserve">providing services and support </w:t>
      </w:r>
      <w:r w:rsidR="005D7923" w:rsidRPr="329B465D">
        <w:rPr>
          <w:rStyle w:val="normaltextrun"/>
          <w:i/>
          <w:color w:val="000000"/>
          <w:shd w:val="clear" w:color="auto" w:fill="FFFFFF"/>
        </w:rPr>
        <w:t xml:space="preserve">to </w:t>
      </w:r>
      <w:r w:rsidR="005D7923" w:rsidRPr="329B465D">
        <w:rPr>
          <w:rStyle w:val="normaltextrun"/>
          <w:i/>
          <w:iCs/>
          <w:color w:val="000000"/>
          <w:shd w:val="clear" w:color="auto" w:fill="FFFFFF"/>
        </w:rPr>
        <w:t>survivors</w:t>
      </w:r>
      <w:r w:rsidR="00CE59CF" w:rsidRPr="7F77E33C">
        <w:rPr>
          <w:rStyle w:val="normaltextrun"/>
          <w:i/>
          <w:color w:val="000000"/>
          <w:shd w:val="clear" w:color="auto" w:fill="FFFFFF"/>
        </w:rPr>
        <w:t xml:space="preserve">. </w:t>
      </w:r>
      <w:r w:rsidRPr="008C09C5">
        <w:rPr>
          <w:rStyle w:val="normaltextrun"/>
          <w:i/>
          <w:color w:val="000000"/>
          <w:shd w:val="clear" w:color="auto" w:fill="FFFFFF"/>
        </w:rPr>
        <w:t>Researchers at ICJIA</w:t>
      </w:r>
      <w:r w:rsidR="004B1044" w:rsidRPr="008C09C5">
        <w:rPr>
          <w:rStyle w:val="normaltextrun"/>
          <w:i/>
          <w:color w:val="000000"/>
          <w:shd w:val="clear" w:color="auto" w:fill="FFFFFF"/>
        </w:rPr>
        <w:t xml:space="preserve"> use deidentified data to evaluate the </w:t>
      </w:r>
      <w:r w:rsidR="005B0449" w:rsidRPr="008C09C5">
        <w:rPr>
          <w:rStyle w:val="normaltextrun"/>
          <w:i/>
          <w:color w:val="000000"/>
          <w:shd w:val="clear" w:color="auto" w:fill="FFFFFF"/>
        </w:rPr>
        <w:t>effectiveness of</w:t>
      </w:r>
      <w:r w:rsidR="004B1044" w:rsidRPr="008C09C5">
        <w:rPr>
          <w:rStyle w:val="normaltextrun"/>
          <w:i/>
          <w:color w:val="000000"/>
          <w:shd w:val="clear" w:color="auto" w:fill="FFFFFF"/>
        </w:rPr>
        <w:t xml:space="preserve"> SFS</w:t>
      </w:r>
      <w:r w:rsidR="005B0449" w:rsidRPr="008C09C5">
        <w:rPr>
          <w:rStyle w:val="normaltextrun"/>
          <w:i/>
          <w:color w:val="000000"/>
          <w:shd w:val="clear" w:color="auto" w:fill="FFFFFF"/>
        </w:rPr>
        <w:t xml:space="preserve"> services provided to families and young children exposed to violence.</w:t>
      </w:r>
      <w:r w:rsidR="008C09C5" w:rsidRPr="008C09C5">
        <w:rPr>
          <w:rStyle w:val="normaltextrun"/>
          <w:i/>
          <w:color w:val="000000"/>
          <w:shd w:val="clear" w:color="auto" w:fill="FFFFFF"/>
        </w:rPr>
        <w:t>”</w:t>
      </w:r>
    </w:p>
    <w:p w14:paraId="21E52F92" w14:textId="320EBC24" w:rsidR="00FE39D1" w:rsidRPr="002A7823" w:rsidRDefault="002F1747" w:rsidP="007B247C">
      <w:pPr>
        <w:pStyle w:val="NormalWeb"/>
        <w:spacing w:before="24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>As a condition of</w:t>
      </w:r>
      <w:r w:rsidR="00EA0827">
        <w:rPr>
          <w:color w:val="000000" w:themeColor="text1"/>
        </w:rPr>
        <w:t xml:space="preserve"> this</w:t>
      </w:r>
      <w:r>
        <w:rPr>
          <w:color w:val="000000" w:themeColor="text1"/>
        </w:rPr>
        <w:t xml:space="preserve"> grant,</w:t>
      </w:r>
      <w:r w:rsidR="00EA0827">
        <w:rPr>
          <w:color w:val="000000" w:themeColor="text1"/>
        </w:rPr>
        <w:t xml:space="preserve"> providers may be asked to share a copy of their consent for services form with this language.</w:t>
      </w:r>
      <w:r w:rsidR="000D4545">
        <w:rPr>
          <w:color w:val="000000" w:themeColor="text1"/>
        </w:rPr>
        <w:t xml:space="preserve"> </w:t>
      </w:r>
      <w:r w:rsidR="000D4545" w:rsidRPr="000C3FBD">
        <w:rPr>
          <w:b/>
          <w:color w:val="000000" w:themeColor="text1"/>
        </w:rPr>
        <w:t>Providers</w:t>
      </w:r>
      <w:r w:rsidR="00E22672" w:rsidRPr="000C3FBD">
        <w:rPr>
          <w:b/>
          <w:color w:val="000000" w:themeColor="text1"/>
        </w:rPr>
        <w:t xml:space="preserve"> should continue to collect informed consent </w:t>
      </w:r>
      <w:r w:rsidR="007B19F9">
        <w:rPr>
          <w:b/>
          <w:color w:val="000000" w:themeColor="text1"/>
        </w:rPr>
        <w:t xml:space="preserve">using the </w:t>
      </w:r>
      <w:r>
        <w:rPr>
          <w:b/>
          <w:color w:val="000000" w:themeColor="text1"/>
        </w:rPr>
        <w:t>“</w:t>
      </w:r>
      <w:r w:rsidR="00991300">
        <w:rPr>
          <w:b/>
          <w:color w:val="000000" w:themeColor="text1"/>
        </w:rPr>
        <w:t>Illinois Criminal Justice Information Authority Research Information and Consent for Participation in Research”</w:t>
      </w:r>
      <w:r w:rsidR="006B596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document</w:t>
      </w:r>
      <w:r w:rsidR="00E222DC">
        <w:rPr>
          <w:b/>
          <w:color w:val="000000" w:themeColor="text1"/>
        </w:rPr>
        <w:t xml:space="preserve"> </w:t>
      </w:r>
      <w:r w:rsidR="00E22672" w:rsidRPr="000C3FBD">
        <w:rPr>
          <w:b/>
          <w:color w:val="000000" w:themeColor="text1"/>
        </w:rPr>
        <w:t>until June 30, 202</w:t>
      </w:r>
      <w:r w:rsidR="00A27C19" w:rsidRPr="000C3FBD">
        <w:rPr>
          <w:b/>
          <w:color w:val="000000" w:themeColor="text1"/>
        </w:rPr>
        <w:t>5.</w:t>
      </w:r>
      <w:r w:rsidR="00EA0827">
        <w:rPr>
          <w:color w:val="000000" w:themeColor="text1"/>
        </w:rPr>
        <w:t xml:space="preserve"> </w:t>
      </w:r>
      <w:r w:rsidR="001C4EC3">
        <w:rPr>
          <w:color w:val="000000" w:themeColor="text1"/>
        </w:rPr>
        <w:t>Starting</w:t>
      </w:r>
      <w:r>
        <w:rPr>
          <w:color w:val="000000" w:themeColor="text1"/>
        </w:rPr>
        <w:t xml:space="preserve"> July 1, 2025, p</w:t>
      </w:r>
      <w:r w:rsidRPr="3D4737F1">
        <w:rPr>
          <w:color w:val="000000" w:themeColor="text1"/>
        </w:rPr>
        <w:t xml:space="preserve">roviders </w:t>
      </w:r>
      <w:r w:rsidR="468FD564" w:rsidRPr="6E17201A">
        <w:rPr>
          <w:color w:val="000000" w:themeColor="text1"/>
        </w:rPr>
        <w:t>should no</w:t>
      </w:r>
      <w:r w:rsidR="001C4EC3">
        <w:rPr>
          <w:color w:val="000000" w:themeColor="text1"/>
        </w:rPr>
        <w:t xml:space="preserve"> longer</w:t>
      </w:r>
      <w:r w:rsidR="468FD564" w:rsidRPr="6E17201A">
        <w:rPr>
          <w:color w:val="000000" w:themeColor="text1"/>
        </w:rPr>
        <w:t xml:space="preserve"> </w:t>
      </w:r>
      <w:r w:rsidRPr="3D4737F1">
        <w:rPr>
          <w:color w:val="000000" w:themeColor="text1"/>
        </w:rPr>
        <w:t xml:space="preserve">ask </w:t>
      </w:r>
      <w:r w:rsidR="00002229">
        <w:rPr>
          <w:color w:val="000000" w:themeColor="text1"/>
        </w:rPr>
        <w:t>clients</w:t>
      </w:r>
      <w:r w:rsidRPr="3D4737F1">
        <w:rPr>
          <w:color w:val="000000" w:themeColor="text1"/>
        </w:rPr>
        <w:t xml:space="preserve"> to complete the </w:t>
      </w:r>
      <w:r w:rsidR="00EB7A12">
        <w:rPr>
          <w:color w:val="000000" w:themeColor="text1"/>
        </w:rPr>
        <w:t xml:space="preserve">informed </w:t>
      </w:r>
      <w:r w:rsidR="005C140F">
        <w:rPr>
          <w:color w:val="000000" w:themeColor="text1"/>
        </w:rPr>
        <w:t>consent</w:t>
      </w:r>
      <w:r w:rsidR="006B5960">
        <w:rPr>
          <w:color w:val="000000" w:themeColor="text1"/>
        </w:rPr>
        <w:t xml:space="preserve"> </w:t>
      </w:r>
      <w:r w:rsidRPr="3D4737F1">
        <w:rPr>
          <w:color w:val="000000" w:themeColor="text1"/>
        </w:rPr>
        <w:t>document</w:t>
      </w:r>
      <w:r w:rsidR="006B5960">
        <w:rPr>
          <w:color w:val="000000" w:themeColor="text1"/>
        </w:rPr>
        <w:t>.</w:t>
      </w:r>
      <w:r w:rsidRPr="3D4737F1" w:rsidDel="006B5960">
        <w:rPr>
          <w:color w:val="000000" w:themeColor="text1"/>
        </w:rPr>
        <w:t xml:space="preserve"> </w:t>
      </w:r>
      <w:r w:rsidR="00A75D53" w:rsidRPr="6E17201A">
        <w:rPr>
          <w:color w:val="000000" w:themeColor="text1"/>
        </w:rPr>
        <w:t xml:space="preserve">If a </w:t>
      </w:r>
      <w:r w:rsidR="004D7D0D" w:rsidRPr="6E17201A">
        <w:rPr>
          <w:color w:val="000000" w:themeColor="text1"/>
        </w:rPr>
        <w:t>c</w:t>
      </w:r>
      <w:r w:rsidR="00EA46E9" w:rsidRPr="6E17201A">
        <w:rPr>
          <w:color w:val="000000" w:themeColor="text1"/>
        </w:rPr>
        <w:t>lient</w:t>
      </w:r>
      <w:r w:rsidR="00A75D53" w:rsidRPr="6E17201A">
        <w:rPr>
          <w:color w:val="000000" w:themeColor="text1"/>
        </w:rPr>
        <w:t xml:space="preserve"> consents for services, their deidentified data</w:t>
      </w:r>
      <w:r w:rsidR="00AD4117" w:rsidRPr="6E17201A">
        <w:rPr>
          <w:color w:val="000000" w:themeColor="text1"/>
        </w:rPr>
        <w:t>, including</w:t>
      </w:r>
      <w:r w:rsidR="00180C87" w:rsidRPr="6E17201A">
        <w:rPr>
          <w:color w:val="000000" w:themeColor="text1"/>
        </w:rPr>
        <w:t xml:space="preserve"> their </w:t>
      </w:r>
      <w:r w:rsidR="00403112" w:rsidRPr="6E17201A">
        <w:rPr>
          <w:color w:val="000000" w:themeColor="text1"/>
        </w:rPr>
        <w:t>children</w:t>
      </w:r>
      <w:r w:rsidR="00371B20" w:rsidRPr="6E17201A">
        <w:rPr>
          <w:color w:val="000000" w:themeColor="text1"/>
        </w:rPr>
        <w:t xml:space="preserve"> participating in SFS</w:t>
      </w:r>
      <w:r w:rsidR="0076269E" w:rsidRPr="6E17201A">
        <w:rPr>
          <w:color w:val="000000" w:themeColor="text1"/>
        </w:rPr>
        <w:t>,</w:t>
      </w:r>
      <w:r w:rsidR="00A75D53" w:rsidRPr="6E17201A">
        <w:rPr>
          <w:color w:val="000000" w:themeColor="text1"/>
        </w:rPr>
        <w:t xml:space="preserve"> should be entered into the database.</w:t>
      </w:r>
    </w:p>
    <w:p w14:paraId="449C49FB" w14:textId="09C21492" w:rsidR="00531BCB" w:rsidRDefault="001B3880" w:rsidP="0054576C">
      <w:pPr>
        <w:rPr>
          <w:b/>
          <w:u w:val="single"/>
        </w:rPr>
      </w:pPr>
      <w:r>
        <w:rPr>
          <w:b/>
          <w:u w:val="single"/>
        </w:rPr>
        <w:t xml:space="preserve">II. </w:t>
      </w:r>
      <w:r w:rsidR="00192518" w:rsidRPr="0054576C">
        <w:rPr>
          <w:b/>
          <w:u w:val="single"/>
        </w:rPr>
        <w:t xml:space="preserve">Assessment </w:t>
      </w:r>
      <w:r w:rsidR="00D90BCA" w:rsidRPr="0054576C">
        <w:rPr>
          <w:b/>
          <w:u w:val="single"/>
        </w:rPr>
        <w:t>Administration</w:t>
      </w:r>
      <w:r w:rsidR="00902EBF">
        <w:rPr>
          <w:b/>
          <w:u w:val="single"/>
        </w:rPr>
        <w:t>:</w:t>
      </w:r>
    </w:p>
    <w:p w14:paraId="44E6CA09" w14:textId="77777777" w:rsidR="009E62B9" w:rsidRDefault="009E62B9" w:rsidP="009E62B9"/>
    <w:p w14:paraId="1D7EA90A" w14:textId="1099F96F" w:rsidR="009E62B9" w:rsidRDefault="009E62B9" w:rsidP="009E62B9">
      <w:r>
        <w:t xml:space="preserve">The following table provides a summarized version of the SFS form and assessment administration protocol to serve as an easy reference. </w:t>
      </w:r>
      <w:r w:rsidR="008730E4">
        <w:t xml:space="preserve">Detailed instructions </w:t>
      </w:r>
      <w:r w:rsidR="00DA7C57">
        <w:t xml:space="preserve">for each phase can be found beginning on page 4. </w:t>
      </w:r>
    </w:p>
    <w:p w14:paraId="1F279D95" w14:textId="77777777" w:rsidR="009E62B9" w:rsidRDefault="009E62B9" w:rsidP="009E62B9">
      <w:pPr>
        <w:jc w:val="center"/>
        <w:rPr>
          <w:sz w:val="22"/>
          <w:szCs w:val="22"/>
        </w:rPr>
      </w:pPr>
    </w:p>
    <w:tbl>
      <w:tblPr>
        <w:tblStyle w:val="TableGrid"/>
        <w:tblW w:w="8550" w:type="dxa"/>
        <w:jc w:val="center"/>
        <w:tblLayout w:type="fixed"/>
        <w:tblLook w:val="04A0" w:firstRow="1" w:lastRow="0" w:firstColumn="1" w:lastColumn="0" w:noHBand="0" w:noVBand="1"/>
      </w:tblPr>
      <w:tblGrid>
        <w:gridCol w:w="1772"/>
        <w:gridCol w:w="1689"/>
        <w:gridCol w:w="2119"/>
        <w:gridCol w:w="1530"/>
        <w:gridCol w:w="1440"/>
      </w:tblGrid>
      <w:tr w:rsidR="009E62B9" w:rsidRPr="00911B37" w14:paraId="5530AD10" w14:textId="77777777" w:rsidTr="497263DC">
        <w:trPr>
          <w:trHeight w:val="390"/>
          <w:jc w:val="center"/>
        </w:trPr>
        <w:tc>
          <w:tcPr>
            <w:tcW w:w="1772" w:type="dxa"/>
            <w:shd w:val="clear" w:color="auto" w:fill="FFD966" w:themeFill="accent4" w:themeFillTint="99"/>
            <w:vAlign w:val="center"/>
            <w:hideMark/>
          </w:tcPr>
          <w:p w14:paraId="4DD51267" w14:textId="77777777" w:rsidR="009E62B9" w:rsidRPr="00911B37" w:rsidRDefault="009E62B9" w:rsidP="00CC7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Phase Name</w:t>
            </w:r>
          </w:p>
        </w:tc>
        <w:tc>
          <w:tcPr>
            <w:tcW w:w="1689" w:type="dxa"/>
            <w:shd w:val="clear" w:color="auto" w:fill="FFD966" w:themeFill="accent4" w:themeFillTint="99"/>
            <w:vAlign w:val="center"/>
            <w:hideMark/>
          </w:tcPr>
          <w:p w14:paraId="022FD8E1" w14:textId="77777777" w:rsidR="009E62B9" w:rsidRPr="00911B37" w:rsidRDefault="009E62B9" w:rsidP="00CC7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frame</w:t>
            </w:r>
          </w:p>
        </w:tc>
        <w:tc>
          <w:tcPr>
            <w:tcW w:w="2119" w:type="dxa"/>
            <w:shd w:val="clear" w:color="auto" w:fill="FFD966" w:themeFill="accent4" w:themeFillTint="99"/>
            <w:vAlign w:val="center"/>
            <w:hideMark/>
          </w:tcPr>
          <w:p w14:paraId="009FF2F4" w14:textId="77777777" w:rsidR="009E62B9" w:rsidRPr="00911B37" w:rsidRDefault="009E62B9" w:rsidP="00CC7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Forms &amp; Assessments</w:t>
            </w:r>
          </w:p>
        </w:tc>
        <w:tc>
          <w:tcPr>
            <w:tcW w:w="1530" w:type="dxa"/>
            <w:shd w:val="clear" w:color="auto" w:fill="FFD966" w:themeFill="accent4" w:themeFillTint="99"/>
            <w:vAlign w:val="center"/>
            <w:hideMark/>
          </w:tcPr>
          <w:p w14:paraId="13382B80" w14:textId="77777777" w:rsidR="009E62B9" w:rsidRPr="00911B37" w:rsidRDefault="009E62B9" w:rsidP="00CC7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 By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6CE98217" w14:textId="77777777" w:rsidR="009E62B9" w:rsidRDefault="009E62B9" w:rsidP="00CC7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Repeat for Each Child</w:t>
            </w:r>
          </w:p>
        </w:tc>
      </w:tr>
      <w:tr w:rsidR="009E62B9" w:rsidRPr="00911B37" w14:paraId="3F323590" w14:textId="77777777" w:rsidTr="497263DC">
        <w:trPr>
          <w:trHeight w:val="337"/>
          <w:jc w:val="center"/>
        </w:trPr>
        <w:tc>
          <w:tcPr>
            <w:tcW w:w="1772" w:type="dxa"/>
            <w:vMerge w:val="restart"/>
            <w:shd w:val="clear" w:color="auto" w:fill="FFF2CC" w:themeFill="accent4" w:themeFillTint="33"/>
            <w:vAlign w:val="center"/>
            <w:hideMark/>
          </w:tcPr>
          <w:p w14:paraId="476C22D7" w14:textId="77777777" w:rsidR="009E62B9" w:rsidRDefault="009E62B9" w:rsidP="00CC7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Pre-/Early</w:t>
            </w:r>
          </w:p>
          <w:p w14:paraId="1A817EC1" w14:textId="77777777" w:rsidR="009E62B9" w:rsidRPr="00914FEB" w:rsidRDefault="009E62B9" w:rsidP="00CC7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</w:t>
            </w:r>
          </w:p>
        </w:tc>
        <w:tc>
          <w:tcPr>
            <w:tcW w:w="1689" w:type="dxa"/>
            <w:vMerge w:val="restart"/>
            <w:shd w:val="clear" w:color="auto" w:fill="FFF2CC" w:themeFill="accent4" w:themeFillTint="33"/>
            <w:vAlign w:val="center"/>
            <w:hideMark/>
          </w:tcPr>
          <w:p w14:paraId="74E8741F" w14:textId="77777777" w:rsidR="009E62B9" w:rsidRPr="00911B37" w:rsidRDefault="009E62B9" w:rsidP="00CC7291">
            <w:pPr>
              <w:jc w:val="center"/>
            </w:pPr>
            <w:r>
              <w:t>First 30 Days</w:t>
            </w:r>
          </w:p>
        </w:tc>
        <w:tc>
          <w:tcPr>
            <w:tcW w:w="2119" w:type="dxa"/>
            <w:shd w:val="clear" w:color="auto" w:fill="FFF2CC" w:themeFill="accent4" w:themeFillTint="33"/>
            <w:vAlign w:val="center"/>
            <w:hideMark/>
          </w:tcPr>
          <w:p w14:paraId="14BBCA71" w14:textId="77777777" w:rsidR="009E62B9" w:rsidRPr="0038024F" w:rsidRDefault="009E62B9" w:rsidP="00CC7291">
            <w:pPr>
              <w:jc w:val="center"/>
            </w:pPr>
            <w:r w:rsidRPr="0038024F">
              <w:rPr>
                <w:bCs/>
              </w:rPr>
              <w:t>BIF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  <w:hideMark/>
          </w:tcPr>
          <w:p w14:paraId="03520A3A" w14:textId="77777777" w:rsidR="009E62B9" w:rsidRPr="00911B37" w:rsidRDefault="009E62B9" w:rsidP="00CC7291">
            <w:pPr>
              <w:jc w:val="center"/>
            </w:pPr>
            <w:r>
              <w:t>Provider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D5EF6E2" w14:textId="77777777" w:rsidR="009E62B9" w:rsidRDefault="009E62B9" w:rsidP="00CC7291">
            <w:pPr>
              <w:jc w:val="center"/>
            </w:pPr>
            <w:r>
              <w:t>Yes</w:t>
            </w:r>
          </w:p>
        </w:tc>
      </w:tr>
      <w:tr w:rsidR="009E62B9" w:rsidRPr="00911B37" w14:paraId="3296FA3D" w14:textId="77777777" w:rsidTr="497263DC">
        <w:trPr>
          <w:trHeight w:val="337"/>
          <w:jc w:val="center"/>
        </w:trPr>
        <w:tc>
          <w:tcPr>
            <w:tcW w:w="1772" w:type="dxa"/>
            <w:vMerge/>
            <w:vAlign w:val="center"/>
            <w:hideMark/>
          </w:tcPr>
          <w:p w14:paraId="043DB0A7" w14:textId="77777777" w:rsidR="009E62B9" w:rsidRPr="00914FEB" w:rsidRDefault="009E62B9" w:rsidP="00CC7291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14:paraId="4DAEBA41" w14:textId="77777777" w:rsidR="009E62B9" w:rsidRPr="00911B37" w:rsidRDefault="009E62B9" w:rsidP="00CC7291"/>
        </w:tc>
        <w:tc>
          <w:tcPr>
            <w:tcW w:w="2119" w:type="dxa"/>
            <w:shd w:val="clear" w:color="auto" w:fill="FFF2CC" w:themeFill="accent4" w:themeFillTint="33"/>
            <w:vAlign w:val="center"/>
            <w:hideMark/>
          </w:tcPr>
          <w:p w14:paraId="432C234F" w14:textId="77777777" w:rsidR="009E62B9" w:rsidRPr="0038024F" w:rsidRDefault="009E62B9" w:rsidP="00CC7291">
            <w:pPr>
              <w:jc w:val="center"/>
            </w:pPr>
            <w:r w:rsidRPr="0038024F">
              <w:t>ASQ</w:t>
            </w:r>
          </w:p>
        </w:tc>
        <w:tc>
          <w:tcPr>
            <w:tcW w:w="1530" w:type="dxa"/>
            <w:vMerge w:val="restart"/>
            <w:shd w:val="clear" w:color="auto" w:fill="FFF2CC" w:themeFill="accent4" w:themeFillTint="33"/>
            <w:vAlign w:val="center"/>
            <w:hideMark/>
          </w:tcPr>
          <w:p w14:paraId="0F53636C" w14:textId="77777777" w:rsidR="009E62B9" w:rsidRPr="00911B37" w:rsidRDefault="009E62B9" w:rsidP="00CC7291">
            <w:pPr>
              <w:jc w:val="center"/>
            </w:pPr>
            <w:r>
              <w:t>Caregiver</w:t>
            </w:r>
          </w:p>
        </w:tc>
        <w:tc>
          <w:tcPr>
            <w:tcW w:w="1440" w:type="dxa"/>
            <w:vMerge w:val="restart"/>
            <w:shd w:val="clear" w:color="auto" w:fill="FFF2CC" w:themeFill="accent4" w:themeFillTint="33"/>
            <w:vAlign w:val="center"/>
          </w:tcPr>
          <w:p w14:paraId="0D19D1EC" w14:textId="77777777" w:rsidR="009E62B9" w:rsidRDefault="009E62B9" w:rsidP="00CC7291">
            <w:pPr>
              <w:jc w:val="center"/>
            </w:pPr>
            <w:r>
              <w:t>Yes</w:t>
            </w:r>
          </w:p>
        </w:tc>
      </w:tr>
      <w:tr w:rsidR="009E62B9" w:rsidRPr="00911B37" w14:paraId="58265D39" w14:textId="77777777" w:rsidTr="497263DC">
        <w:trPr>
          <w:trHeight w:val="372"/>
          <w:jc w:val="center"/>
        </w:trPr>
        <w:tc>
          <w:tcPr>
            <w:tcW w:w="1772" w:type="dxa"/>
            <w:vMerge/>
            <w:vAlign w:val="center"/>
            <w:hideMark/>
          </w:tcPr>
          <w:p w14:paraId="650AD624" w14:textId="77777777" w:rsidR="009E62B9" w:rsidRPr="00914FEB" w:rsidRDefault="009E62B9" w:rsidP="00CC7291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14:paraId="6BC61711" w14:textId="77777777" w:rsidR="009E62B9" w:rsidRPr="00911B37" w:rsidRDefault="009E62B9" w:rsidP="00CC7291"/>
        </w:tc>
        <w:tc>
          <w:tcPr>
            <w:tcW w:w="2119" w:type="dxa"/>
            <w:shd w:val="clear" w:color="auto" w:fill="FFF2CC" w:themeFill="accent4" w:themeFillTint="33"/>
            <w:vAlign w:val="center"/>
            <w:hideMark/>
          </w:tcPr>
          <w:p w14:paraId="296FC7E9" w14:textId="77777777" w:rsidR="009E62B9" w:rsidRPr="0038024F" w:rsidRDefault="009E62B9" w:rsidP="00CC7291">
            <w:pPr>
              <w:jc w:val="center"/>
            </w:pPr>
            <w:r w:rsidRPr="0038024F">
              <w:t>ASQ:SE</w:t>
            </w:r>
          </w:p>
        </w:tc>
        <w:tc>
          <w:tcPr>
            <w:tcW w:w="1530" w:type="dxa"/>
            <w:vMerge/>
            <w:vAlign w:val="center"/>
          </w:tcPr>
          <w:p w14:paraId="4054FC4D" w14:textId="77777777" w:rsidR="009E62B9" w:rsidRPr="00911B37" w:rsidRDefault="009E62B9" w:rsidP="00CC7291">
            <w:pPr>
              <w:jc w:val="center"/>
            </w:pPr>
          </w:p>
        </w:tc>
        <w:tc>
          <w:tcPr>
            <w:tcW w:w="1440" w:type="dxa"/>
            <w:vMerge/>
          </w:tcPr>
          <w:p w14:paraId="175FFAD4" w14:textId="77777777" w:rsidR="009E62B9" w:rsidRPr="00911B37" w:rsidRDefault="009E62B9" w:rsidP="00CC7291">
            <w:pPr>
              <w:jc w:val="center"/>
            </w:pPr>
          </w:p>
        </w:tc>
      </w:tr>
      <w:tr w:rsidR="009E62B9" w:rsidRPr="00911B37" w14:paraId="31D33509" w14:textId="77777777" w:rsidTr="497263DC">
        <w:trPr>
          <w:trHeight w:val="329"/>
          <w:jc w:val="center"/>
        </w:trPr>
        <w:tc>
          <w:tcPr>
            <w:tcW w:w="1772" w:type="dxa"/>
            <w:vMerge/>
            <w:vAlign w:val="center"/>
            <w:hideMark/>
          </w:tcPr>
          <w:p w14:paraId="52D3351D" w14:textId="77777777" w:rsidR="009E62B9" w:rsidRPr="00914FEB" w:rsidRDefault="009E62B9" w:rsidP="00CC7291">
            <w:pPr>
              <w:rPr>
                <w:b/>
                <w:bCs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14:paraId="0BA97879" w14:textId="77777777" w:rsidR="009E62B9" w:rsidRPr="00911B37" w:rsidRDefault="009E62B9" w:rsidP="00CC7291">
            <w:pPr>
              <w:jc w:val="center"/>
            </w:pPr>
          </w:p>
        </w:tc>
        <w:tc>
          <w:tcPr>
            <w:tcW w:w="2119" w:type="dxa"/>
            <w:shd w:val="clear" w:color="auto" w:fill="FFF2CC" w:themeFill="accent4" w:themeFillTint="33"/>
            <w:vAlign w:val="center"/>
            <w:hideMark/>
          </w:tcPr>
          <w:p w14:paraId="7F7F72C0" w14:textId="77777777" w:rsidR="009E62B9" w:rsidRPr="0038024F" w:rsidRDefault="009E62B9" w:rsidP="00CC7291">
            <w:pPr>
              <w:jc w:val="center"/>
            </w:pPr>
            <w:r w:rsidRPr="0038024F">
              <w:t>CBCL</w:t>
            </w:r>
          </w:p>
        </w:tc>
        <w:tc>
          <w:tcPr>
            <w:tcW w:w="1530" w:type="dxa"/>
            <w:vMerge/>
            <w:vAlign w:val="center"/>
          </w:tcPr>
          <w:p w14:paraId="576223D0" w14:textId="77777777" w:rsidR="009E62B9" w:rsidRPr="00911B37" w:rsidRDefault="009E62B9" w:rsidP="00CC7291">
            <w:pPr>
              <w:jc w:val="center"/>
            </w:pPr>
          </w:p>
        </w:tc>
        <w:tc>
          <w:tcPr>
            <w:tcW w:w="1440" w:type="dxa"/>
            <w:vMerge/>
          </w:tcPr>
          <w:p w14:paraId="6B04CA56" w14:textId="77777777" w:rsidR="009E62B9" w:rsidRPr="00911B37" w:rsidRDefault="009E62B9" w:rsidP="00CC7291">
            <w:pPr>
              <w:jc w:val="center"/>
            </w:pPr>
          </w:p>
        </w:tc>
      </w:tr>
      <w:tr w:rsidR="009E62B9" w:rsidRPr="00911B37" w14:paraId="535B0E8D" w14:textId="77777777" w:rsidTr="497263DC">
        <w:trPr>
          <w:trHeight w:val="337"/>
          <w:jc w:val="center"/>
        </w:trPr>
        <w:tc>
          <w:tcPr>
            <w:tcW w:w="1772" w:type="dxa"/>
            <w:vMerge/>
            <w:vAlign w:val="center"/>
            <w:hideMark/>
          </w:tcPr>
          <w:p w14:paraId="0EA67469" w14:textId="77777777" w:rsidR="009E62B9" w:rsidRPr="00914FEB" w:rsidRDefault="009E62B9" w:rsidP="00CC7291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14:paraId="22CCA754" w14:textId="77777777" w:rsidR="009E62B9" w:rsidRPr="00911B37" w:rsidRDefault="009E62B9" w:rsidP="00CC7291">
            <w:pPr>
              <w:jc w:val="center"/>
            </w:pPr>
          </w:p>
        </w:tc>
        <w:tc>
          <w:tcPr>
            <w:tcW w:w="2119" w:type="dxa"/>
            <w:shd w:val="clear" w:color="auto" w:fill="FFF2CC" w:themeFill="accent4" w:themeFillTint="33"/>
            <w:vAlign w:val="center"/>
            <w:hideMark/>
          </w:tcPr>
          <w:p w14:paraId="203C0A6C" w14:textId="77777777" w:rsidR="009E62B9" w:rsidRPr="0038024F" w:rsidRDefault="009E62B9" w:rsidP="00CC7291">
            <w:pPr>
              <w:jc w:val="center"/>
            </w:pPr>
            <w:r w:rsidRPr="0038024F">
              <w:t>PSI</w:t>
            </w:r>
          </w:p>
        </w:tc>
        <w:tc>
          <w:tcPr>
            <w:tcW w:w="1530" w:type="dxa"/>
            <w:vMerge/>
            <w:vAlign w:val="center"/>
          </w:tcPr>
          <w:p w14:paraId="3A68A0F5" w14:textId="77777777" w:rsidR="009E62B9" w:rsidRPr="00911B37" w:rsidRDefault="009E62B9" w:rsidP="00CC7291">
            <w:pPr>
              <w:jc w:val="center"/>
            </w:pPr>
          </w:p>
        </w:tc>
        <w:tc>
          <w:tcPr>
            <w:tcW w:w="1440" w:type="dxa"/>
            <w:vMerge/>
          </w:tcPr>
          <w:p w14:paraId="5AF3BB08" w14:textId="77777777" w:rsidR="009E62B9" w:rsidRPr="00911B37" w:rsidRDefault="009E62B9" w:rsidP="00CC7291">
            <w:pPr>
              <w:jc w:val="center"/>
            </w:pPr>
          </w:p>
        </w:tc>
      </w:tr>
      <w:tr w:rsidR="009E62B9" w:rsidRPr="00911B37" w14:paraId="52F550C6" w14:textId="77777777" w:rsidTr="497263DC">
        <w:trPr>
          <w:trHeight w:val="337"/>
          <w:jc w:val="center"/>
        </w:trPr>
        <w:tc>
          <w:tcPr>
            <w:tcW w:w="1772" w:type="dxa"/>
            <w:vMerge w:val="restart"/>
            <w:shd w:val="clear" w:color="auto" w:fill="DEEAF6" w:themeFill="accent5" w:themeFillTint="33"/>
            <w:vAlign w:val="center"/>
          </w:tcPr>
          <w:p w14:paraId="674A1F98" w14:textId="77777777" w:rsidR="009E62B9" w:rsidRDefault="009E62B9" w:rsidP="00CC7291">
            <w:pPr>
              <w:jc w:val="center"/>
              <w:rPr>
                <w:b/>
                <w:bCs/>
              </w:rPr>
            </w:pPr>
            <w:r w:rsidRPr="7A4EBF1F">
              <w:rPr>
                <w:b/>
                <w:bCs/>
              </w:rPr>
              <w:t>Mid-Intervention</w:t>
            </w:r>
          </w:p>
          <w:p w14:paraId="21AB0B66" w14:textId="77777777" w:rsidR="009E62B9" w:rsidRPr="00914FEB" w:rsidRDefault="009E62B9" w:rsidP="00CC7291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 w:val="restart"/>
            <w:shd w:val="clear" w:color="auto" w:fill="DEEAF6" w:themeFill="accent5" w:themeFillTint="33"/>
            <w:vAlign w:val="center"/>
          </w:tcPr>
          <w:p w14:paraId="39E1013A" w14:textId="77777777" w:rsidR="009E62B9" w:rsidRPr="00911B37" w:rsidRDefault="009E62B9" w:rsidP="00CC7291">
            <w:pPr>
              <w:jc w:val="center"/>
            </w:pPr>
            <w:r>
              <w:t>Every 3 months</w:t>
            </w:r>
          </w:p>
        </w:tc>
        <w:tc>
          <w:tcPr>
            <w:tcW w:w="2119" w:type="dxa"/>
            <w:shd w:val="clear" w:color="auto" w:fill="DEEAF6" w:themeFill="accent5" w:themeFillTint="33"/>
            <w:vAlign w:val="center"/>
          </w:tcPr>
          <w:p w14:paraId="07F8D841" w14:textId="77777777" w:rsidR="009E62B9" w:rsidRPr="0038024F" w:rsidRDefault="009E62B9" w:rsidP="00CC7291">
            <w:pPr>
              <w:jc w:val="center"/>
              <w:rPr>
                <w:bCs/>
              </w:rPr>
            </w:pPr>
            <w:r w:rsidRPr="0038024F">
              <w:rPr>
                <w:bCs/>
              </w:rPr>
              <w:t>CBCL</w:t>
            </w:r>
          </w:p>
        </w:tc>
        <w:tc>
          <w:tcPr>
            <w:tcW w:w="1530" w:type="dxa"/>
            <w:vMerge w:val="restart"/>
            <w:shd w:val="clear" w:color="auto" w:fill="DEEAF6" w:themeFill="accent5" w:themeFillTint="33"/>
            <w:vAlign w:val="center"/>
          </w:tcPr>
          <w:p w14:paraId="708CE258" w14:textId="77777777" w:rsidR="009E62B9" w:rsidRDefault="009E62B9" w:rsidP="00CC7291">
            <w:pPr>
              <w:jc w:val="center"/>
            </w:pPr>
            <w:r>
              <w:t>Caregiver</w:t>
            </w:r>
          </w:p>
        </w:tc>
        <w:tc>
          <w:tcPr>
            <w:tcW w:w="1440" w:type="dxa"/>
            <w:vMerge w:val="restart"/>
            <w:shd w:val="clear" w:color="auto" w:fill="DEEAF6" w:themeFill="accent5" w:themeFillTint="33"/>
            <w:vAlign w:val="center"/>
          </w:tcPr>
          <w:p w14:paraId="67D434AA" w14:textId="77777777" w:rsidR="009E62B9" w:rsidRDefault="009E62B9" w:rsidP="00CC7291">
            <w:pPr>
              <w:jc w:val="center"/>
            </w:pPr>
            <w:r>
              <w:t>Yes</w:t>
            </w:r>
          </w:p>
        </w:tc>
      </w:tr>
      <w:tr w:rsidR="009E62B9" w:rsidRPr="00911B37" w14:paraId="5CAAFA15" w14:textId="77777777" w:rsidTr="497263DC">
        <w:trPr>
          <w:trHeight w:val="337"/>
          <w:jc w:val="center"/>
        </w:trPr>
        <w:tc>
          <w:tcPr>
            <w:tcW w:w="1772" w:type="dxa"/>
            <w:vMerge/>
            <w:vAlign w:val="center"/>
          </w:tcPr>
          <w:p w14:paraId="28288ECD" w14:textId="77777777" w:rsidR="009E62B9" w:rsidRDefault="009E62B9" w:rsidP="00CC7291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/>
            <w:vAlign w:val="center"/>
          </w:tcPr>
          <w:p w14:paraId="36FB2444" w14:textId="77777777" w:rsidR="009E62B9" w:rsidRDefault="009E62B9" w:rsidP="00CC7291">
            <w:pPr>
              <w:jc w:val="center"/>
            </w:pPr>
          </w:p>
        </w:tc>
        <w:tc>
          <w:tcPr>
            <w:tcW w:w="2119" w:type="dxa"/>
            <w:shd w:val="clear" w:color="auto" w:fill="DEEAF6" w:themeFill="accent5" w:themeFillTint="33"/>
            <w:vAlign w:val="center"/>
          </w:tcPr>
          <w:p w14:paraId="5BAB1DB7" w14:textId="77777777" w:rsidR="009E62B9" w:rsidRPr="0038024F" w:rsidRDefault="009E62B9" w:rsidP="00CC7291">
            <w:pPr>
              <w:jc w:val="center"/>
              <w:rPr>
                <w:bCs/>
              </w:rPr>
            </w:pPr>
            <w:r w:rsidRPr="0038024F">
              <w:rPr>
                <w:bCs/>
              </w:rPr>
              <w:t>PSI</w:t>
            </w:r>
          </w:p>
        </w:tc>
        <w:tc>
          <w:tcPr>
            <w:tcW w:w="1530" w:type="dxa"/>
            <w:vMerge/>
            <w:vAlign w:val="center"/>
          </w:tcPr>
          <w:p w14:paraId="4E9FED97" w14:textId="77777777" w:rsidR="009E62B9" w:rsidRDefault="009E62B9" w:rsidP="00CC7291">
            <w:pPr>
              <w:jc w:val="center"/>
            </w:pPr>
          </w:p>
        </w:tc>
        <w:tc>
          <w:tcPr>
            <w:tcW w:w="1440" w:type="dxa"/>
            <w:vMerge/>
          </w:tcPr>
          <w:p w14:paraId="686A9A36" w14:textId="77777777" w:rsidR="009E62B9" w:rsidRDefault="009E62B9" w:rsidP="00CC7291">
            <w:pPr>
              <w:jc w:val="center"/>
            </w:pPr>
          </w:p>
        </w:tc>
      </w:tr>
      <w:tr w:rsidR="009E62B9" w:rsidRPr="00911B37" w14:paraId="2B9608DC" w14:textId="77777777" w:rsidTr="497263DC">
        <w:trPr>
          <w:trHeight w:val="337"/>
          <w:jc w:val="center"/>
        </w:trPr>
        <w:tc>
          <w:tcPr>
            <w:tcW w:w="1772" w:type="dxa"/>
            <w:vMerge/>
            <w:vAlign w:val="center"/>
          </w:tcPr>
          <w:p w14:paraId="2648EA1F" w14:textId="77777777" w:rsidR="009E62B9" w:rsidRDefault="009E62B9" w:rsidP="00CC7291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/>
            <w:vAlign w:val="center"/>
          </w:tcPr>
          <w:p w14:paraId="564A6FB7" w14:textId="77777777" w:rsidR="009E62B9" w:rsidRDefault="009E62B9" w:rsidP="00CC7291">
            <w:pPr>
              <w:jc w:val="center"/>
            </w:pPr>
          </w:p>
        </w:tc>
        <w:tc>
          <w:tcPr>
            <w:tcW w:w="2119" w:type="dxa"/>
            <w:shd w:val="clear" w:color="auto" w:fill="DEEAF6" w:themeFill="accent5" w:themeFillTint="33"/>
            <w:vAlign w:val="center"/>
          </w:tcPr>
          <w:p w14:paraId="00ACB220" w14:textId="77777777" w:rsidR="009E62B9" w:rsidRPr="0038024F" w:rsidRDefault="009E62B9" w:rsidP="00CC7291">
            <w:pPr>
              <w:jc w:val="center"/>
              <w:rPr>
                <w:bCs/>
              </w:rPr>
            </w:pPr>
            <w:r w:rsidRPr="0038024F">
              <w:rPr>
                <w:bCs/>
              </w:rPr>
              <w:t>ASQ</w:t>
            </w:r>
          </w:p>
        </w:tc>
        <w:tc>
          <w:tcPr>
            <w:tcW w:w="1530" w:type="dxa"/>
            <w:vMerge/>
            <w:vAlign w:val="center"/>
          </w:tcPr>
          <w:p w14:paraId="7C3A25A7" w14:textId="77777777" w:rsidR="009E62B9" w:rsidRDefault="009E62B9" w:rsidP="00CC7291">
            <w:pPr>
              <w:jc w:val="center"/>
            </w:pPr>
          </w:p>
        </w:tc>
        <w:tc>
          <w:tcPr>
            <w:tcW w:w="1440" w:type="dxa"/>
            <w:vMerge/>
          </w:tcPr>
          <w:p w14:paraId="5DC36211" w14:textId="77777777" w:rsidR="009E62B9" w:rsidRDefault="009E62B9" w:rsidP="00CC7291">
            <w:pPr>
              <w:jc w:val="center"/>
            </w:pPr>
          </w:p>
        </w:tc>
      </w:tr>
      <w:tr w:rsidR="009E62B9" w:rsidRPr="00911B37" w14:paraId="3B20DADD" w14:textId="77777777" w:rsidTr="497263DC">
        <w:trPr>
          <w:trHeight w:val="337"/>
          <w:jc w:val="center"/>
        </w:trPr>
        <w:tc>
          <w:tcPr>
            <w:tcW w:w="1772" w:type="dxa"/>
            <w:vMerge/>
            <w:vAlign w:val="center"/>
          </w:tcPr>
          <w:p w14:paraId="35DE9BDE" w14:textId="77777777" w:rsidR="009E62B9" w:rsidRDefault="009E62B9" w:rsidP="00CC7291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shd w:val="clear" w:color="auto" w:fill="DEEAF6" w:themeFill="accent5" w:themeFillTint="33"/>
            <w:vAlign w:val="center"/>
          </w:tcPr>
          <w:p w14:paraId="380E531D" w14:textId="2E2E3495" w:rsidR="009E62B9" w:rsidRDefault="21335E49" w:rsidP="00CC7291">
            <w:pPr>
              <w:jc w:val="center"/>
            </w:pPr>
            <w:r>
              <w:t>Every</w:t>
            </w:r>
            <w:r w:rsidR="009E62B9">
              <w:t xml:space="preserve"> 6 months</w:t>
            </w:r>
          </w:p>
        </w:tc>
        <w:tc>
          <w:tcPr>
            <w:tcW w:w="2119" w:type="dxa"/>
            <w:shd w:val="clear" w:color="auto" w:fill="DEEAF6" w:themeFill="accent5" w:themeFillTint="33"/>
            <w:vAlign w:val="center"/>
          </w:tcPr>
          <w:p w14:paraId="1897539C" w14:textId="77777777" w:rsidR="009E62B9" w:rsidRPr="0038024F" w:rsidRDefault="009E62B9" w:rsidP="00CC7291">
            <w:pPr>
              <w:jc w:val="center"/>
              <w:rPr>
                <w:bCs/>
              </w:rPr>
            </w:pPr>
            <w:r w:rsidRPr="00EF6F74">
              <w:rPr>
                <w:bCs/>
              </w:rPr>
              <w:t>ASQ:SE</w:t>
            </w:r>
          </w:p>
        </w:tc>
        <w:tc>
          <w:tcPr>
            <w:tcW w:w="1530" w:type="dxa"/>
            <w:vMerge/>
            <w:vAlign w:val="center"/>
          </w:tcPr>
          <w:p w14:paraId="006F3382" w14:textId="77777777" w:rsidR="009E62B9" w:rsidRDefault="009E62B9" w:rsidP="00CC7291">
            <w:pPr>
              <w:jc w:val="center"/>
            </w:pPr>
          </w:p>
        </w:tc>
        <w:tc>
          <w:tcPr>
            <w:tcW w:w="1440" w:type="dxa"/>
            <w:vMerge/>
          </w:tcPr>
          <w:p w14:paraId="4517BFAB" w14:textId="77777777" w:rsidR="009E62B9" w:rsidRDefault="009E62B9" w:rsidP="00CC7291">
            <w:pPr>
              <w:jc w:val="center"/>
            </w:pPr>
          </w:p>
        </w:tc>
      </w:tr>
      <w:tr w:rsidR="00287BB7" w:rsidRPr="00911B37" w14:paraId="1FC3D41C" w14:textId="77777777" w:rsidTr="497263DC">
        <w:trPr>
          <w:trHeight w:val="337"/>
          <w:jc w:val="center"/>
        </w:trPr>
        <w:tc>
          <w:tcPr>
            <w:tcW w:w="1772" w:type="dxa"/>
            <w:vMerge w:val="restart"/>
            <w:shd w:val="clear" w:color="auto" w:fill="E2EFD9" w:themeFill="accent6" w:themeFillTint="33"/>
            <w:vAlign w:val="center"/>
          </w:tcPr>
          <w:p w14:paraId="76792A1F" w14:textId="77777777" w:rsidR="00287BB7" w:rsidRDefault="00287BB7" w:rsidP="00CC7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Post-</w:t>
            </w:r>
          </w:p>
          <w:p w14:paraId="2151DF4D" w14:textId="77777777" w:rsidR="00287BB7" w:rsidRPr="00914FEB" w:rsidRDefault="00287BB7" w:rsidP="00CC7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</w:t>
            </w:r>
          </w:p>
        </w:tc>
        <w:tc>
          <w:tcPr>
            <w:tcW w:w="1689" w:type="dxa"/>
            <w:vMerge w:val="restart"/>
            <w:shd w:val="clear" w:color="auto" w:fill="E2EFD9" w:themeFill="accent6" w:themeFillTint="33"/>
            <w:vAlign w:val="center"/>
            <w:hideMark/>
          </w:tcPr>
          <w:p w14:paraId="5CF04026" w14:textId="77777777" w:rsidR="00287BB7" w:rsidRPr="00911B37" w:rsidRDefault="00287BB7" w:rsidP="00CC7291">
            <w:pPr>
              <w:jc w:val="center"/>
            </w:pPr>
            <w:r>
              <w:t>Case Closeout</w:t>
            </w:r>
          </w:p>
        </w:tc>
        <w:tc>
          <w:tcPr>
            <w:tcW w:w="2119" w:type="dxa"/>
            <w:shd w:val="clear" w:color="auto" w:fill="E2EFD9" w:themeFill="accent6" w:themeFillTint="33"/>
            <w:vAlign w:val="center"/>
            <w:hideMark/>
          </w:tcPr>
          <w:p w14:paraId="07D9CDF8" w14:textId="77777777" w:rsidR="00287BB7" w:rsidRPr="0038024F" w:rsidRDefault="00287BB7" w:rsidP="00CC7291">
            <w:pPr>
              <w:jc w:val="center"/>
            </w:pPr>
            <w:r w:rsidRPr="0038024F">
              <w:rPr>
                <w:bCs/>
              </w:rPr>
              <w:t>Caregiver CSF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  <w:vAlign w:val="center"/>
            <w:hideMark/>
          </w:tcPr>
          <w:p w14:paraId="49BF669B" w14:textId="77777777" w:rsidR="00287BB7" w:rsidRPr="00911B37" w:rsidRDefault="00287BB7" w:rsidP="00CC7291">
            <w:pPr>
              <w:jc w:val="center"/>
            </w:pPr>
            <w:r>
              <w:t>Provider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ED01509" w14:textId="77777777" w:rsidR="00287BB7" w:rsidRDefault="00287BB7" w:rsidP="00CC7291">
            <w:pPr>
              <w:jc w:val="center"/>
            </w:pPr>
            <w:r>
              <w:t>No</w:t>
            </w:r>
          </w:p>
        </w:tc>
      </w:tr>
      <w:tr w:rsidR="00287BB7" w:rsidRPr="00911B37" w14:paraId="64D57EFA" w14:textId="77777777" w:rsidTr="497263DC">
        <w:trPr>
          <w:trHeight w:val="337"/>
          <w:jc w:val="center"/>
        </w:trPr>
        <w:tc>
          <w:tcPr>
            <w:tcW w:w="1772" w:type="dxa"/>
            <w:vMerge/>
          </w:tcPr>
          <w:p w14:paraId="36AD07D8" w14:textId="77777777" w:rsidR="00287BB7" w:rsidRPr="00914FEB" w:rsidRDefault="00287BB7" w:rsidP="00CC7291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/>
            <w:hideMark/>
          </w:tcPr>
          <w:p w14:paraId="2712C2DC" w14:textId="77777777" w:rsidR="00287BB7" w:rsidRPr="00911B37" w:rsidRDefault="00287BB7" w:rsidP="00CC7291"/>
        </w:tc>
        <w:tc>
          <w:tcPr>
            <w:tcW w:w="2119" w:type="dxa"/>
            <w:shd w:val="clear" w:color="auto" w:fill="E2EFD9" w:themeFill="accent6" w:themeFillTint="33"/>
            <w:hideMark/>
          </w:tcPr>
          <w:p w14:paraId="15CA4026" w14:textId="77777777" w:rsidR="00287BB7" w:rsidRPr="0038024F" w:rsidRDefault="00287BB7" w:rsidP="00CC7291">
            <w:pPr>
              <w:jc w:val="center"/>
            </w:pPr>
            <w:r w:rsidRPr="0038024F">
              <w:rPr>
                <w:bCs/>
              </w:rPr>
              <w:t>Child CSF</w:t>
            </w:r>
          </w:p>
        </w:tc>
        <w:tc>
          <w:tcPr>
            <w:tcW w:w="1530" w:type="dxa"/>
            <w:vMerge/>
            <w:hideMark/>
          </w:tcPr>
          <w:p w14:paraId="0B0BBD90" w14:textId="77777777" w:rsidR="00287BB7" w:rsidRPr="00911B37" w:rsidRDefault="00287BB7" w:rsidP="00CC7291">
            <w:pPr>
              <w:jc w:val="center"/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14:paraId="5C73E2ED" w14:textId="77777777" w:rsidR="00287BB7" w:rsidRPr="00911B37" w:rsidRDefault="00287BB7" w:rsidP="00CC7291">
            <w:pPr>
              <w:jc w:val="center"/>
            </w:pPr>
            <w:r>
              <w:t>Yes</w:t>
            </w:r>
          </w:p>
        </w:tc>
      </w:tr>
      <w:tr w:rsidR="00287BB7" w:rsidRPr="00911B37" w14:paraId="650C2ECF" w14:textId="77777777" w:rsidTr="497263DC">
        <w:trPr>
          <w:trHeight w:val="337"/>
          <w:jc w:val="center"/>
        </w:trPr>
        <w:tc>
          <w:tcPr>
            <w:tcW w:w="1772" w:type="dxa"/>
            <w:vMerge/>
          </w:tcPr>
          <w:p w14:paraId="17B73F84" w14:textId="77777777" w:rsidR="00287BB7" w:rsidRPr="00914FEB" w:rsidRDefault="00287BB7" w:rsidP="00CC7291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/>
          </w:tcPr>
          <w:p w14:paraId="6C0C5DE7" w14:textId="77777777" w:rsidR="00287BB7" w:rsidRPr="00911B37" w:rsidRDefault="00287BB7" w:rsidP="00CC7291"/>
        </w:tc>
        <w:tc>
          <w:tcPr>
            <w:tcW w:w="2119" w:type="dxa"/>
            <w:shd w:val="clear" w:color="auto" w:fill="E2EFD9" w:themeFill="accent6" w:themeFillTint="33"/>
          </w:tcPr>
          <w:p w14:paraId="317B548A" w14:textId="08D6A4FD" w:rsidR="00287BB7" w:rsidRPr="0038024F" w:rsidRDefault="00287BB7" w:rsidP="00CC7291">
            <w:pPr>
              <w:jc w:val="center"/>
              <w:rPr>
                <w:bCs/>
              </w:rPr>
            </w:pPr>
            <w:r>
              <w:rPr>
                <w:bCs/>
              </w:rPr>
              <w:t>Family Referral Information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63670214" w14:textId="3B9B7786" w:rsidR="00287BB7" w:rsidRPr="00911B37" w:rsidRDefault="00287BB7" w:rsidP="00287BB7">
            <w:pPr>
              <w:jc w:val="center"/>
            </w:pPr>
            <w:r>
              <w:t>Provider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1C7B234" w14:textId="69676680" w:rsidR="00287BB7" w:rsidRDefault="00013226" w:rsidP="00287BB7">
            <w:pPr>
              <w:jc w:val="center"/>
            </w:pPr>
            <w:r>
              <w:t>No</w:t>
            </w:r>
          </w:p>
        </w:tc>
      </w:tr>
    </w:tbl>
    <w:p w14:paraId="5D2D441F" w14:textId="77777777" w:rsidR="0054576C" w:rsidRDefault="0054576C" w:rsidP="0054576C">
      <w:pPr>
        <w:rPr>
          <w:b/>
          <w:u w:val="single"/>
        </w:rPr>
      </w:pPr>
    </w:p>
    <w:p w14:paraId="3AEEBE31" w14:textId="77777777" w:rsidR="009E62B9" w:rsidRDefault="009E62B9" w:rsidP="005101A5">
      <w:pPr>
        <w:rPr>
          <w:b/>
          <w:bCs/>
          <w:iCs/>
        </w:rPr>
      </w:pPr>
    </w:p>
    <w:p w14:paraId="72705643" w14:textId="77777777" w:rsidR="009E62B9" w:rsidRDefault="009E62B9" w:rsidP="005101A5">
      <w:pPr>
        <w:rPr>
          <w:b/>
          <w:bCs/>
          <w:iCs/>
        </w:rPr>
      </w:pPr>
    </w:p>
    <w:p w14:paraId="3020F4EF" w14:textId="36C921F0" w:rsidR="009C275F" w:rsidRPr="00AB25F4" w:rsidRDefault="00882C87" w:rsidP="005101A5">
      <w:pPr>
        <w:rPr>
          <w:iCs/>
        </w:rPr>
      </w:pPr>
      <w:r w:rsidRPr="00032349">
        <w:rPr>
          <w:b/>
          <w:bCs/>
          <w:iCs/>
        </w:rPr>
        <w:t>Pre-/Early Intervention Phase</w:t>
      </w:r>
      <w:r w:rsidR="00AD2FDA" w:rsidRPr="00032349">
        <w:rPr>
          <w:b/>
          <w:bCs/>
          <w:iCs/>
        </w:rPr>
        <w:t>:</w:t>
      </w:r>
      <w:r w:rsidR="00AD2FDA" w:rsidRPr="00AB25F4">
        <w:rPr>
          <w:iCs/>
        </w:rPr>
        <w:t xml:space="preserve"> </w:t>
      </w:r>
      <w:r w:rsidR="00933238" w:rsidRPr="00AB25F4">
        <w:rPr>
          <w:iCs/>
        </w:rPr>
        <w:t>Providers</w:t>
      </w:r>
      <w:r w:rsidR="005D35D6" w:rsidRPr="00AB25F4">
        <w:rPr>
          <w:iCs/>
        </w:rPr>
        <w:t xml:space="preserve"> should</w:t>
      </w:r>
      <w:r w:rsidR="00D04F32" w:rsidRPr="00AB25F4">
        <w:rPr>
          <w:iCs/>
        </w:rPr>
        <w:t xml:space="preserve"> fill out the BIF and administer the ASQ, ASQ:SE, CBCL, and the PSI </w:t>
      </w:r>
      <w:r w:rsidR="00843141" w:rsidRPr="00AB25F4">
        <w:rPr>
          <w:iCs/>
        </w:rPr>
        <w:t>to the caregiver</w:t>
      </w:r>
      <w:r w:rsidR="00B27906" w:rsidRPr="00AB25F4">
        <w:rPr>
          <w:iCs/>
        </w:rPr>
        <w:t xml:space="preserve"> prior to intervention services</w:t>
      </w:r>
      <w:r w:rsidR="00FB072B">
        <w:rPr>
          <w:iCs/>
        </w:rPr>
        <w:t>. Intervention services refers to</w:t>
      </w:r>
      <w:r w:rsidR="00371B20">
        <w:rPr>
          <w:iCs/>
        </w:rPr>
        <w:t xml:space="preserve"> a clinician providing individual or family</w:t>
      </w:r>
      <w:r w:rsidR="00315B7E">
        <w:rPr>
          <w:iCs/>
        </w:rPr>
        <w:t xml:space="preserve"> therapy and implementing a client’s treatment plan</w:t>
      </w:r>
      <w:r w:rsidR="00843141" w:rsidRPr="00AB25F4">
        <w:rPr>
          <w:iCs/>
        </w:rPr>
        <w:t>. The</w:t>
      </w:r>
      <w:r w:rsidR="0033185A" w:rsidRPr="00AB25F4">
        <w:rPr>
          <w:iCs/>
        </w:rPr>
        <w:t xml:space="preserve"> BIF </w:t>
      </w:r>
      <w:r w:rsidR="00843141" w:rsidRPr="00AB25F4">
        <w:rPr>
          <w:iCs/>
        </w:rPr>
        <w:t xml:space="preserve">and assessments should be completed within the </w:t>
      </w:r>
      <w:r w:rsidR="00843141" w:rsidRPr="00032349">
        <w:rPr>
          <w:b/>
          <w:i/>
          <w:iCs/>
          <w:u w:val="single"/>
        </w:rPr>
        <w:t>first 30 days</w:t>
      </w:r>
      <w:r w:rsidR="00843141" w:rsidRPr="00AB25F4">
        <w:rPr>
          <w:b/>
          <w:iCs/>
        </w:rPr>
        <w:t xml:space="preserve"> </w:t>
      </w:r>
      <w:r w:rsidR="00A56FDB">
        <w:rPr>
          <w:iCs/>
        </w:rPr>
        <w:t xml:space="preserve">of </w:t>
      </w:r>
      <w:r w:rsidR="00843141" w:rsidRPr="00AB25F4">
        <w:rPr>
          <w:iCs/>
        </w:rPr>
        <w:t xml:space="preserve">a family </w:t>
      </w:r>
      <w:r w:rsidR="00843141">
        <w:t>en</w:t>
      </w:r>
      <w:r w:rsidR="00154971">
        <w:t>ter</w:t>
      </w:r>
      <w:r w:rsidR="00A56FDB">
        <w:t>ing</w:t>
      </w:r>
      <w:r w:rsidR="00154971" w:rsidRPr="00AB25F4">
        <w:rPr>
          <w:iCs/>
        </w:rPr>
        <w:t xml:space="preserve"> the SFS program. </w:t>
      </w:r>
    </w:p>
    <w:p w14:paraId="53CC1247" w14:textId="77777777" w:rsidR="00214223" w:rsidRPr="000612FC" w:rsidRDefault="00214223" w:rsidP="00214223">
      <w:pPr>
        <w:pStyle w:val="ListParagraph"/>
        <w:ind w:left="1440"/>
        <w:rPr>
          <w:b/>
          <w:bCs/>
          <w:i/>
        </w:rPr>
      </w:pPr>
    </w:p>
    <w:p w14:paraId="6ECDD0D4" w14:textId="700CDBD5" w:rsidR="00E3048D" w:rsidRPr="00D274CB" w:rsidRDefault="009C66F0" w:rsidP="00FB6A81">
      <w:pPr>
        <w:ind w:left="720"/>
        <w:rPr>
          <w:color w:val="C00000"/>
        </w:rPr>
      </w:pPr>
      <w:r w:rsidRPr="00D274CB">
        <w:rPr>
          <w:b/>
          <w:color w:val="C00000"/>
        </w:rPr>
        <w:t>NOTE</w:t>
      </w:r>
      <w:r w:rsidR="00C75B04">
        <w:rPr>
          <w:b/>
          <w:color w:val="C00000"/>
        </w:rPr>
        <w:t>S</w:t>
      </w:r>
      <w:r w:rsidRPr="00D274CB">
        <w:rPr>
          <w:b/>
          <w:color w:val="C00000"/>
        </w:rPr>
        <w:t>:</w:t>
      </w:r>
      <w:r w:rsidRPr="00D274CB">
        <w:rPr>
          <w:color w:val="C00000"/>
        </w:rPr>
        <w:t xml:space="preserve"> </w:t>
      </w:r>
    </w:p>
    <w:p w14:paraId="10662354" w14:textId="6C623BCB" w:rsidR="00EE57CA" w:rsidRDefault="003F6FA0" w:rsidP="009A5876">
      <w:pPr>
        <w:pStyle w:val="ListParagraph"/>
        <w:numPr>
          <w:ilvl w:val="0"/>
          <w:numId w:val="16"/>
        </w:numPr>
      </w:pPr>
      <w:r>
        <w:t>While a child may have multiple caregivers, please</w:t>
      </w:r>
      <w:r w:rsidR="005A264C">
        <w:t xml:space="preserve"> administer</w:t>
      </w:r>
      <w:r w:rsidR="00400A23">
        <w:t xml:space="preserve"> assessments</w:t>
      </w:r>
      <w:r>
        <w:t xml:space="preserve"> and enter </w:t>
      </w:r>
      <w:r w:rsidR="41CA5B77">
        <w:t>intake and exit</w:t>
      </w:r>
      <w:r>
        <w:t xml:space="preserve"> data into the database for the </w:t>
      </w:r>
      <w:r w:rsidR="00400A23" w:rsidRPr="00B2159D">
        <w:rPr>
          <w:b/>
        </w:rPr>
        <w:t>primary</w:t>
      </w:r>
      <w:r w:rsidR="00400A23">
        <w:t xml:space="preserve"> </w:t>
      </w:r>
      <w:r w:rsidRPr="002E0C13">
        <w:rPr>
          <w:b/>
          <w:bCs/>
        </w:rPr>
        <w:t>caregiver</w:t>
      </w:r>
      <w:r w:rsidRPr="002E0C13" w:rsidDel="00A2527A">
        <w:rPr>
          <w:b/>
          <w:bCs/>
        </w:rPr>
        <w:t xml:space="preserve"> </w:t>
      </w:r>
      <w:r w:rsidR="008B3C5E" w:rsidRPr="002E0C13">
        <w:rPr>
          <w:b/>
          <w:bCs/>
        </w:rPr>
        <w:t>accompanying the child for SFS services</w:t>
      </w:r>
      <w:r w:rsidR="008B3C5E">
        <w:t xml:space="preserve">. </w:t>
      </w:r>
    </w:p>
    <w:p w14:paraId="2A9E6613" w14:textId="4269594C" w:rsidR="00447A18" w:rsidRDefault="004B1681" w:rsidP="0033185A">
      <w:pPr>
        <w:pStyle w:val="ListParagraph"/>
        <w:numPr>
          <w:ilvl w:val="0"/>
          <w:numId w:val="16"/>
        </w:numPr>
      </w:pPr>
      <w:r>
        <w:t>For</w:t>
      </w:r>
      <w:r w:rsidR="00447A18">
        <w:t xml:space="preserve"> the BIF, </w:t>
      </w:r>
      <w:r w:rsidR="00EF36D8">
        <w:t xml:space="preserve">at minimum, </w:t>
      </w:r>
      <w:r w:rsidR="00B53D85">
        <w:t>information</w:t>
      </w:r>
      <w:r w:rsidR="00AF2B69">
        <w:t xml:space="preserve"> for</w:t>
      </w:r>
      <w:r w:rsidR="00082ED9">
        <w:t xml:space="preserve"> the following sections</w:t>
      </w:r>
      <w:r w:rsidR="00AF2B69">
        <w:t xml:space="preserve"> should be gathered and entered in the database</w:t>
      </w:r>
      <w:r w:rsidR="00082ED9">
        <w:t>:</w:t>
      </w:r>
    </w:p>
    <w:p w14:paraId="524456E9" w14:textId="14C215E4" w:rsidR="00082ED9" w:rsidRDefault="00497150" w:rsidP="00082ED9">
      <w:pPr>
        <w:pStyle w:val="ListParagraph"/>
        <w:numPr>
          <w:ilvl w:val="1"/>
          <w:numId w:val="16"/>
        </w:numPr>
      </w:pPr>
      <w:r>
        <w:t xml:space="preserve">Adult </w:t>
      </w:r>
      <w:r w:rsidR="000D3E3D">
        <w:t xml:space="preserve">and </w:t>
      </w:r>
      <w:r w:rsidR="00742CFC">
        <w:t>Child</w:t>
      </w:r>
      <w:r w:rsidR="00CC2F00">
        <w:t xml:space="preserve"> Client</w:t>
      </w:r>
      <w:r>
        <w:t xml:space="preserve"> Information (</w:t>
      </w:r>
      <w:r w:rsidR="007D41DF">
        <w:t>P</w:t>
      </w:r>
      <w:r>
        <w:t>age</w:t>
      </w:r>
      <w:r w:rsidR="00CC2F00">
        <w:t xml:space="preserve">s </w:t>
      </w:r>
      <w:r>
        <w:t>1</w:t>
      </w:r>
      <w:r w:rsidR="00CC2F00">
        <w:t>-3</w:t>
      </w:r>
      <w:r>
        <w:t>)</w:t>
      </w:r>
    </w:p>
    <w:p w14:paraId="21313183" w14:textId="0883C194" w:rsidR="00497150" w:rsidRDefault="00752AD4" w:rsidP="00082ED9">
      <w:pPr>
        <w:pStyle w:val="ListParagraph"/>
        <w:numPr>
          <w:ilvl w:val="1"/>
          <w:numId w:val="16"/>
        </w:numPr>
      </w:pPr>
      <w:r>
        <w:t>Exposure to Violence (</w:t>
      </w:r>
      <w:r w:rsidR="00D219CF">
        <w:t>P</w:t>
      </w:r>
      <w:r>
        <w:t>age 5)</w:t>
      </w:r>
    </w:p>
    <w:p w14:paraId="3FDD0A14" w14:textId="7C8AC5D3" w:rsidR="00D24E60" w:rsidRDefault="00D24E60" w:rsidP="00082ED9">
      <w:pPr>
        <w:pStyle w:val="ListParagraph"/>
        <w:numPr>
          <w:ilvl w:val="1"/>
          <w:numId w:val="16"/>
        </w:numPr>
      </w:pPr>
      <w:r>
        <w:t>Child (Page 7)</w:t>
      </w:r>
    </w:p>
    <w:p w14:paraId="308FDB46" w14:textId="4E46183D" w:rsidR="00752AD4" w:rsidRDefault="006362AC" w:rsidP="00082ED9">
      <w:pPr>
        <w:pStyle w:val="ListParagraph"/>
        <w:numPr>
          <w:ilvl w:val="1"/>
          <w:numId w:val="16"/>
        </w:numPr>
      </w:pPr>
      <w:r>
        <w:t>Abuse History (</w:t>
      </w:r>
      <w:r w:rsidR="003655F1">
        <w:t>P</w:t>
      </w:r>
      <w:r>
        <w:t xml:space="preserve">age </w:t>
      </w:r>
      <w:r w:rsidR="00D24E60">
        <w:t>10</w:t>
      </w:r>
      <w:r>
        <w:t>)</w:t>
      </w:r>
    </w:p>
    <w:p w14:paraId="6891E115" w14:textId="721CB852" w:rsidR="00B46B70" w:rsidRDefault="00BE0009" w:rsidP="00B17B65">
      <w:pPr>
        <w:pStyle w:val="ListParagraph"/>
        <w:numPr>
          <w:ilvl w:val="1"/>
          <w:numId w:val="16"/>
        </w:numPr>
      </w:pPr>
      <w:r>
        <w:t>Protective Factors &amp; Family Social History (Page</w:t>
      </w:r>
      <w:r w:rsidR="008519D6">
        <w:t xml:space="preserve">s </w:t>
      </w:r>
      <w:r w:rsidR="00BA5A5C">
        <w:t>11</w:t>
      </w:r>
      <w:r w:rsidR="008519D6">
        <w:t>-1</w:t>
      </w:r>
      <w:r w:rsidR="00BA5A5C">
        <w:t>3</w:t>
      </w:r>
      <w:r>
        <w:t>)</w:t>
      </w:r>
    </w:p>
    <w:p w14:paraId="792698C4" w14:textId="7BC5D0D2" w:rsidR="0033185A" w:rsidRDefault="009613DA" w:rsidP="0033185A">
      <w:pPr>
        <w:pStyle w:val="ListParagraph"/>
        <w:numPr>
          <w:ilvl w:val="0"/>
          <w:numId w:val="16"/>
        </w:numPr>
      </w:pPr>
      <w:r>
        <w:t>For the standardized assessments, t</w:t>
      </w:r>
      <w:r w:rsidR="00E3048D">
        <w:t xml:space="preserve">here should always be </w:t>
      </w:r>
      <w:r w:rsidR="0054563B">
        <w:t>an SFS staff</w:t>
      </w:r>
      <w:r w:rsidR="002B5185">
        <w:t xml:space="preserve"> </w:t>
      </w:r>
      <w:r w:rsidR="00E74DD3">
        <w:t xml:space="preserve">member </w:t>
      </w:r>
      <w:r w:rsidR="002B5185">
        <w:t>(e.g., clinician, interpreter</w:t>
      </w:r>
      <w:r w:rsidR="00E856DE">
        <w:t xml:space="preserve">, </w:t>
      </w:r>
      <w:r w:rsidR="00BD5981">
        <w:t>intake coordinator</w:t>
      </w:r>
      <w:r w:rsidR="002B5185">
        <w:t>)</w:t>
      </w:r>
      <w:r w:rsidR="0054563B">
        <w:t xml:space="preserve"> </w:t>
      </w:r>
      <w:r w:rsidR="00E3048D">
        <w:t>available to read the</w:t>
      </w:r>
      <w:r w:rsidR="4730A1E1">
        <w:t xml:space="preserve"> </w:t>
      </w:r>
      <w:r w:rsidR="00E3048D">
        <w:t>questions to caregivers that have difficulty reading or to answer any questions.</w:t>
      </w:r>
    </w:p>
    <w:p w14:paraId="295F0D62" w14:textId="4CB606F3" w:rsidR="008C7814" w:rsidRDefault="00877A67" w:rsidP="00AE1DE1">
      <w:pPr>
        <w:pStyle w:val="ListParagraph"/>
        <w:numPr>
          <w:ilvl w:val="0"/>
          <w:numId w:val="16"/>
        </w:numPr>
      </w:pPr>
      <w:r>
        <w:t>After the caregiver complete</w:t>
      </w:r>
      <w:r w:rsidR="007E057A">
        <w:t>s</w:t>
      </w:r>
      <w:r>
        <w:t xml:space="preserve"> the</w:t>
      </w:r>
      <w:r w:rsidR="000F10C8">
        <w:t xml:space="preserve"> assessments</w:t>
      </w:r>
      <w:r w:rsidR="00323AF3">
        <w:t xml:space="preserve">, </w:t>
      </w:r>
      <w:r w:rsidR="00965833">
        <w:t>providers should</w:t>
      </w:r>
      <w:r w:rsidR="00323AF3">
        <w:t xml:space="preserve"> </w:t>
      </w:r>
      <w:r w:rsidR="00636B4A">
        <w:t xml:space="preserve">immediately </w:t>
      </w:r>
      <w:r>
        <w:t xml:space="preserve">look over the forms </w:t>
      </w:r>
      <w:r w:rsidR="00965833">
        <w:t>and</w:t>
      </w:r>
      <w:r>
        <w:t xml:space="preserve"> follow-up with the caregiver about any </w:t>
      </w:r>
      <w:r w:rsidR="00CA6440">
        <w:t>outstanding</w:t>
      </w:r>
      <w:r>
        <w:t xml:space="preserve"> concerns</w:t>
      </w:r>
      <w:r w:rsidR="00323AF3">
        <w:t xml:space="preserve"> </w:t>
      </w:r>
      <w:r w:rsidR="00B60BE8">
        <w:t>or</w:t>
      </w:r>
      <w:r>
        <w:t xml:space="preserve"> </w:t>
      </w:r>
      <w:r w:rsidR="007E057A">
        <w:t>missing</w:t>
      </w:r>
      <w:r>
        <w:t xml:space="preserve"> information.</w:t>
      </w:r>
    </w:p>
    <w:p w14:paraId="1DA20E09" w14:textId="1779836B" w:rsidR="008B3289" w:rsidRDefault="008C7814" w:rsidP="00623E28">
      <w:pPr>
        <w:pStyle w:val="ListParagraph"/>
        <w:numPr>
          <w:ilvl w:val="1"/>
          <w:numId w:val="16"/>
        </w:numPr>
      </w:pPr>
      <w:r>
        <w:t xml:space="preserve">Each assessment has a minimum number </w:t>
      </w:r>
      <w:r w:rsidR="00342E5B">
        <w:t>of items that must be answered/entered for it to be scored</w:t>
      </w:r>
      <w:r w:rsidR="006C2791">
        <w:t>.</w:t>
      </w:r>
      <w:r w:rsidR="00342E5B">
        <w:t xml:space="preserve"> </w:t>
      </w:r>
    </w:p>
    <w:p w14:paraId="557D97A1" w14:textId="77777777" w:rsidR="00211C01" w:rsidRDefault="00211C01" w:rsidP="00B12F5C">
      <w:pPr>
        <w:rPr>
          <w:b/>
        </w:rPr>
      </w:pPr>
    </w:p>
    <w:p w14:paraId="0895280D" w14:textId="1E32ECDB" w:rsidR="007E771B" w:rsidRDefault="327F7E74" w:rsidP="00935F4B">
      <w:r w:rsidRPr="497263DC">
        <w:rPr>
          <w:b/>
          <w:bCs/>
        </w:rPr>
        <w:t>Mid-Intervention</w:t>
      </w:r>
      <w:r w:rsidR="5DF0FB93" w:rsidRPr="497263DC">
        <w:rPr>
          <w:b/>
          <w:bCs/>
        </w:rPr>
        <w:t xml:space="preserve"> Phase</w:t>
      </w:r>
      <w:r w:rsidR="06BA833E" w:rsidRPr="497263DC">
        <w:rPr>
          <w:b/>
          <w:bCs/>
        </w:rPr>
        <w:t>:</w:t>
      </w:r>
      <w:r w:rsidR="746E920B">
        <w:t xml:space="preserve"> </w:t>
      </w:r>
      <w:r w:rsidR="60E22344">
        <w:t xml:space="preserve">Providers are to </w:t>
      </w:r>
      <w:r w:rsidR="58F683CB">
        <w:t>re-</w:t>
      </w:r>
      <w:r w:rsidR="60E22344">
        <w:t>administer the ASQ, CBCL and PSI to the caregiver</w:t>
      </w:r>
      <w:r w:rsidR="3CB99FBB">
        <w:t xml:space="preserve"> a</w:t>
      </w:r>
      <w:r w:rsidR="7D6816B4">
        <w:t>fter</w:t>
      </w:r>
      <w:r w:rsidR="3CB99FBB">
        <w:t xml:space="preserve"> </w:t>
      </w:r>
      <w:r w:rsidR="3CB99FBB" w:rsidRPr="497263DC">
        <w:rPr>
          <w:b/>
          <w:bCs/>
          <w:i/>
          <w:iCs/>
          <w:u w:val="single"/>
        </w:rPr>
        <w:t>three months</w:t>
      </w:r>
      <w:r w:rsidR="3CB99FBB">
        <w:t xml:space="preserve"> </w:t>
      </w:r>
      <w:r w:rsidR="001A2854">
        <w:t xml:space="preserve">for every </w:t>
      </w:r>
      <w:r w:rsidR="000742C1">
        <w:t>child</w:t>
      </w:r>
      <w:r w:rsidR="3CB99FBB" w:rsidDel="00A14064">
        <w:t xml:space="preserve"> </w:t>
      </w:r>
      <w:r w:rsidR="3CB99FBB">
        <w:t>receiving intervention services</w:t>
      </w:r>
      <w:r w:rsidR="43BD7BCA">
        <w:t xml:space="preserve"> and then</w:t>
      </w:r>
      <w:r w:rsidR="7A6ABDA3">
        <w:t xml:space="preserve"> </w:t>
      </w:r>
      <w:r w:rsidR="67EC53A2">
        <w:t xml:space="preserve">every three months </w:t>
      </w:r>
      <w:r w:rsidR="4E3EBC45">
        <w:t xml:space="preserve">thereafter while </w:t>
      </w:r>
      <w:r w:rsidR="00D3423B">
        <w:t>they</w:t>
      </w:r>
      <w:r w:rsidR="4E3EBC45">
        <w:t xml:space="preserve"> remain in services.</w:t>
      </w:r>
      <w:r w:rsidR="2795C81D">
        <w:t xml:space="preserve"> </w:t>
      </w:r>
      <w:r w:rsidR="7A6F075E">
        <w:t xml:space="preserve">The ASQ:SE should be re-administered </w:t>
      </w:r>
      <w:r w:rsidR="004C395B">
        <w:t>for every</w:t>
      </w:r>
      <w:r w:rsidR="00496D27">
        <w:t xml:space="preserve"> child</w:t>
      </w:r>
      <w:r w:rsidR="007A1EDC">
        <w:t xml:space="preserve"> who</w:t>
      </w:r>
      <w:r w:rsidR="7A6F075E">
        <w:t xml:space="preserve"> </w:t>
      </w:r>
      <w:r w:rsidR="1B3FC6E8">
        <w:t xml:space="preserve">has </w:t>
      </w:r>
      <w:r w:rsidR="7A6F075E">
        <w:t xml:space="preserve">received </w:t>
      </w:r>
      <w:r w:rsidR="7A6F075E" w:rsidRPr="497263DC">
        <w:rPr>
          <w:b/>
          <w:bCs/>
          <w:i/>
          <w:iCs/>
          <w:u w:val="single"/>
        </w:rPr>
        <w:t>six months</w:t>
      </w:r>
      <w:r w:rsidR="7A6F075E">
        <w:t xml:space="preserve"> of intervention services</w:t>
      </w:r>
      <w:r w:rsidR="3F4088F9">
        <w:t xml:space="preserve"> and then every six months thereafter while </w:t>
      </w:r>
      <w:r w:rsidR="00967580">
        <w:t>they</w:t>
      </w:r>
      <w:r w:rsidR="3F4088F9">
        <w:t xml:space="preserve"> remain in services</w:t>
      </w:r>
      <w:r w:rsidR="7A6F075E">
        <w:t>. </w:t>
      </w:r>
      <w:r w:rsidR="1B3FC6E8">
        <w:t>Re-assessment should be completed no later than 30 days after a family is due for re-assessment</w:t>
      </w:r>
      <w:r w:rsidR="00092BEA">
        <w:t>.</w:t>
      </w:r>
    </w:p>
    <w:p w14:paraId="794FBFEE" w14:textId="77777777" w:rsidR="00935F4B" w:rsidRDefault="00935F4B" w:rsidP="00935F4B">
      <w:pPr>
        <w:ind w:firstLine="720"/>
        <w:rPr>
          <w:b/>
          <w:color w:val="C00000"/>
        </w:rPr>
      </w:pPr>
    </w:p>
    <w:p w14:paraId="61AFDA45" w14:textId="3E856132" w:rsidR="005465CA" w:rsidRPr="00DD4EBF" w:rsidRDefault="00935F4B" w:rsidP="00D82BF3">
      <w:pPr>
        <w:ind w:firstLine="720"/>
      </w:pPr>
      <w:bookmarkStart w:id="0" w:name="_Hlk177470600"/>
      <w:r w:rsidRPr="7A4EBF1F">
        <w:rPr>
          <w:b/>
          <w:bCs/>
          <w:color w:val="C00000"/>
        </w:rPr>
        <w:t>NOTE</w:t>
      </w:r>
      <w:r w:rsidR="00C75B04" w:rsidRPr="7A4EBF1F">
        <w:rPr>
          <w:b/>
          <w:bCs/>
          <w:color w:val="C00000"/>
        </w:rPr>
        <w:t>S</w:t>
      </w:r>
      <w:r w:rsidR="006B0D89" w:rsidRPr="7A4EBF1F">
        <w:rPr>
          <w:b/>
          <w:bCs/>
          <w:color w:val="C00000"/>
        </w:rPr>
        <w:t>:</w:t>
      </w:r>
    </w:p>
    <w:bookmarkEnd w:id="0"/>
    <w:p w14:paraId="4B7DB870" w14:textId="18EB8C02" w:rsidR="00CB1393" w:rsidRPr="0007273C" w:rsidRDefault="0002567B" w:rsidP="00472100">
      <w:pPr>
        <w:numPr>
          <w:ilvl w:val="0"/>
          <w:numId w:val="23"/>
        </w:numPr>
      </w:pPr>
      <w:r w:rsidRPr="002924EC">
        <w:rPr>
          <w:b/>
          <w:bCs/>
        </w:rPr>
        <w:t xml:space="preserve">For </w:t>
      </w:r>
      <w:r w:rsidR="007518FF">
        <w:rPr>
          <w:b/>
          <w:bCs/>
        </w:rPr>
        <w:t>clients</w:t>
      </w:r>
      <w:r w:rsidRPr="002924EC">
        <w:rPr>
          <w:b/>
          <w:bCs/>
        </w:rPr>
        <w:t xml:space="preserve"> exiting services</w:t>
      </w:r>
      <w:r w:rsidR="002924EC">
        <w:rPr>
          <w:b/>
          <w:bCs/>
        </w:rPr>
        <w:t xml:space="preserve"> ONLY</w:t>
      </w:r>
      <w:r>
        <w:t>, r</w:t>
      </w:r>
      <w:r w:rsidR="00FE635C">
        <w:t xml:space="preserve">e-assessment </w:t>
      </w:r>
      <w:r w:rsidR="00CB1393">
        <w:t xml:space="preserve">can occur two weeks </w:t>
      </w:r>
      <w:r w:rsidR="00D1763B">
        <w:t xml:space="preserve">before </w:t>
      </w:r>
      <w:r w:rsidR="002B2181">
        <w:t>the re-assessment period begins</w:t>
      </w:r>
      <w:r w:rsidR="00636895">
        <w:t xml:space="preserve"> (e.g., </w:t>
      </w:r>
      <w:r w:rsidR="003661BD">
        <w:t xml:space="preserve">re-assessment can occur </w:t>
      </w:r>
      <w:r w:rsidR="003B76C4">
        <w:t>for every</w:t>
      </w:r>
      <w:r w:rsidR="00A42E9B">
        <w:t xml:space="preserve"> child </w:t>
      </w:r>
      <w:r w:rsidR="003B76C4">
        <w:t>who</w:t>
      </w:r>
      <w:r w:rsidR="00397232">
        <w:t xml:space="preserve"> has received </w:t>
      </w:r>
      <w:r w:rsidR="00BC3FD9">
        <w:t xml:space="preserve">intervention </w:t>
      </w:r>
      <w:r w:rsidR="00397232">
        <w:t xml:space="preserve">services for two and a half months if they plan to exit services prior to </w:t>
      </w:r>
      <w:r w:rsidR="00BC3FD9">
        <w:t>receiving three months of intervention services)</w:t>
      </w:r>
      <w:r w:rsidR="00810C32">
        <w:t>.</w:t>
      </w:r>
    </w:p>
    <w:p w14:paraId="3146B3B2" w14:textId="77777777" w:rsidR="00B93162" w:rsidRDefault="004D0B76" w:rsidP="00BB0475">
      <w:pPr>
        <w:numPr>
          <w:ilvl w:val="0"/>
          <w:numId w:val="23"/>
        </w:numPr>
        <w:rPr>
          <w:bCs/>
        </w:rPr>
      </w:pPr>
      <w:r w:rsidRPr="00763834">
        <w:rPr>
          <w:bCs/>
        </w:rPr>
        <w:t xml:space="preserve">For </w:t>
      </w:r>
      <w:r w:rsidR="00850355" w:rsidRPr="005300CA">
        <w:rPr>
          <w:bCs/>
        </w:rPr>
        <w:t>clients</w:t>
      </w:r>
      <w:r w:rsidR="00560E97" w:rsidRPr="00763834">
        <w:rPr>
          <w:bCs/>
        </w:rPr>
        <w:t xml:space="preserve"> </w:t>
      </w:r>
      <w:r w:rsidR="0006768A">
        <w:rPr>
          <w:bCs/>
        </w:rPr>
        <w:t>who</w:t>
      </w:r>
      <w:r w:rsidR="00B93162">
        <w:rPr>
          <w:bCs/>
        </w:rPr>
        <w:t xml:space="preserve"> temporarily discontinue services:</w:t>
      </w:r>
    </w:p>
    <w:p w14:paraId="39A117F2" w14:textId="636F87A9" w:rsidR="00D04DDB" w:rsidRDefault="00D04DDB" w:rsidP="00B93162">
      <w:pPr>
        <w:numPr>
          <w:ilvl w:val="1"/>
          <w:numId w:val="23"/>
        </w:numPr>
        <w:rPr>
          <w:bCs/>
        </w:rPr>
      </w:pPr>
      <w:r>
        <w:rPr>
          <w:bCs/>
        </w:rPr>
        <w:t xml:space="preserve">For clients who have missed some intervention services, but less than one month in a three-month period, </w:t>
      </w:r>
      <w:r w:rsidR="0038331C">
        <w:rPr>
          <w:bCs/>
        </w:rPr>
        <w:t xml:space="preserve">providers should </w:t>
      </w:r>
      <w:r w:rsidR="00331544">
        <w:rPr>
          <w:bCs/>
        </w:rPr>
        <w:t>administer mid-intervention phase assessments AFTER they have received three months of intervention services.</w:t>
      </w:r>
    </w:p>
    <w:p w14:paraId="3C58B03C" w14:textId="304D2059" w:rsidR="00B33D32" w:rsidRPr="00B33D32" w:rsidRDefault="009C63BE" w:rsidP="00BD4107">
      <w:pPr>
        <w:numPr>
          <w:ilvl w:val="1"/>
          <w:numId w:val="23"/>
        </w:numPr>
        <w:rPr>
          <w:bCs/>
        </w:rPr>
      </w:pPr>
      <w:r>
        <w:rPr>
          <w:bCs/>
        </w:rPr>
        <w:t xml:space="preserve">For clients </w:t>
      </w:r>
      <w:r>
        <w:t>who</w:t>
      </w:r>
      <w:r w:rsidR="00ED5A2B" w:rsidRPr="00763834">
        <w:rPr>
          <w:bCs/>
        </w:rPr>
        <w:t xml:space="preserve"> have missed more than one month of </w:t>
      </w:r>
      <w:r w:rsidR="004F4485">
        <w:rPr>
          <w:bCs/>
        </w:rPr>
        <w:t xml:space="preserve">intervention </w:t>
      </w:r>
      <w:r w:rsidR="005A7798" w:rsidRPr="00763834">
        <w:rPr>
          <w:bCs/>
        </w:rPr>
        <w:t>services</w:t>
      </w:r>
      <w:r w:rsidR="0006768A">
        <w:rPr>
          <w:bCs/>
        </w:rPr>
        <w:t xml:space="preserve"> in </w:t>
      </w:r>
      <w:r w:rsidR="00904B25">
        <w:rPr>
          <w:bCs/>
        </w:rPr>
        <w:t>a</w:t>
      </w:r>
      <w:r w:rsidR="0006768A">
        <w:rPr>
          <w:bCs/>
        </w:rPr>
        <w:t xml:space="preserve"> </w:t>
      </w:r>
      <w:r w:rsidR="0067627E">
        <w:rPr>
          <w:bCs/>
        </w:rPr>
        <w:t>three-month</w:t>
      </w:r>
      <w:r w:rsidR="0006768A">
        <w:rPr>
          <w:bCs/>
        </w:rPr>
        <w:t xml:space="preserve"> period</w:t>
      </w:r>
      <w:r w:rsidR="005A7798" w:rsidRPr="00763834">
        <w:rPr>
          <w:bCs/>
        </w:rPr>
        <w:t xml:space="preserve">, </w:t>
      </w:r>
      <w:r w:rsidR="00535391" w:rsidRPr="00765AA8">
        <w:rPr>
          <w:bCs/>
        </w:rPr>
        <w:t xml:space="preserve">providers should </w:t>
      </w:r>
      <w:r w:rsidR="0092323F">
        <w:t>repeat</w:t>
      </w:r>
      <w:r w:rsidR="00535391" w:rsidRPr="00765AA8">
        <w:rPr>
          <w:bCs/>
        </w:rPr>
        <w:t xml:space="preserve"> the pre</w:t>
      </w:r>
      <w:r w:rsidR="00D654E2" w:rsidRPr="00BB0475">
        <w:rPr>
          <w:bCs/>
        </w:rPr>
        <w:t>-/early intervention phase</w:t>
      </w:r>
      <w:r w:rsidR="004F4485">
        <w:rPr>
          <w:bCs/>
        </w:rPr>
        <w:t xml:space="preserve"> assessments</w:t>
      </w:r>
      <w:r w:rsidR="00D654E2" w:rsidRPr="00BB0475">
        <w:rPr>
          <w:bCs/>
        </w:rPr>
        <w:t>.</w:t>
      </w:r>
      <w:r w:rsidR="005300CA" w:rsidRPr="00BB0475">
        <w:rPr>
          <w:bCs/>
        </w:rPr>
        <w:t xml:space="preserve"> </w:t>
      </w:r>
      <w:r w:rsidR="00F50202">
        <w:rPr>
          <w:bCs/>
        </w:rPr>
        <w:t xml:space="preserve">Providers should start a new cycle in the database for </w:t>
      </w:r>
      <w:r w:rsidR="00912662">
        <w:rPr>
          <w:bCs/>
        </w:rPr>
        <w:t>the client</w:t>
      </w:r>
      <w:r w:rsidR="00136750">
        <w:rPr>
          <w:bCs/>
        </w:rPr>
        <w:t xml:space="preserve"> and administer the</w:t>
      </w:r>
      <w:r w:rsidR="00A04619">
        <w:rPr>
          <w:bCs/>
        </w:rPr>
        <w:t xml:space="preserve"> ASQ, ASQ:SE, CBCL, and PSI</w:t>
      </w:r>
      <w:r w:rsidR="008E4B25">
        <w:rPr>
          <w:bCs/>
        </w:rPr>
        <w:t xml:space="preserve">. </w:t>
      </w:r>
      <w:r w:rsidR="00410072">
        <w:rPr>
          <w:bCs/>
        </w:rPr>
        <w:t>Additionally,</w:t>
      </w:r>
      <w:r w:rsidR="008E4B25">
        <w:rPr>
          <w:bCs/>
        </w:rPr>
        <w:t xml:space="preserve"> verify the client </w:t>
      </w:r>
      <w:r w:rsidR="00F474A7">
        <w:rPr>
          <w:bCs/>
        </w:rPr>
        <w:t>information contained on the BIF</w:t>
      </w:r>
      <w:r w:rsidR="008E4B25">
        <w:rPr>
          <w:bCs/>
        </w:rPr>
        <w:t xml:space="preserve"> </w:t>
      </w:r>
      <w:r w:rsidR="00467D60">
        <w:rPr>
          <w:bCs/>
        </w:rPr>
        <w:t xml:space="preserve">and re-enter </w:t>
      </w:r>
      <w:r w:rsidR="00FF28EE">
        <w:rPr>
          <w:bCs/>
        </w:rPr>
        <w:t xml:space="preserve">this </w:t>
      </w:r>
      <w:r w:rsidR="00467D60">
        <w:rPr>
          <w:bCs/>
        </w:rPr>
        <w:t xml:space="preserve">information in the database. </w:t>
      </w:r>
    </w:p>
    <w:p w14:paraId="0FF3BDE1" w14:textId="77777777" w:rsidR="005300CA" w:rsidRPr="005300CA" w:rsidRDefault="005300CA" w:rsidP="005300CA">
      <w:pPr>
        <w:ind w:left="1440"/>
        <w:rPr>
          <w:bCs/>
        </w:rPr>
      </w:pPr>
    </w:p>
    <w:p w14:paraId="0B9D8AF3" w14:textId="37CAEB31" w:rsidR="00AB7CAB" w:rsidRPr="006B3727" w:rsidRDefault="00AB7CAB" w:rsidP="594D03F6">
      <w:r w:rsidRPr="7A4EBF1F">
        <w:rPr>
          <w:b/>
          <w:bCs/>
        </w:rPr>
        <w:t>Post-Intervention Phase</w:t>
      </w:r>
      <w:r w:rsidR="00C65F6D" w:rsidRPr="7A4EBF1F">
        <w:rPr>
          <w:b/>
          <w:bCs/>
        </w:rPr>
        <w:t>:</w:t>
      </w:r>
      <w:r w:rsidR="00C65F6D">
        <w:t xml:space="preserve"> </w:t>
      </w:r>
      <w:r>
        <w:t>Providers are t</w:t>
      </w:r>
      <w:r w:rsidR="00D53D40">
        <w:t xml:space="preserve">o complete the Caregiver </w:t>
      </w:r>
      <w:r w:rsidR="000F5EFF">
        <w:t>CSF</w:t>
      </w:r>
      <w:r w:rsidR="00615D7D">
        <w:t xml:space="preserve"> and</w:t>
      </w:r>
      <w:r w:rsidR="00F33BD8">
        <w:t xml:space="preserve"> </w:t>
      </w:r>
      <w:r w:rsidR="00D53D40">
        <w:t xml:space="preserve">Child </w:t>
      </w:r>
      <w:r w:rsidR="000F5EFF">
        <w:t>CSF</w:t>
      </w:r>
      <w:r w:rsidR="00673838">
        <w:t xml:space="preserve"> </w:t>
      </w:r>
      <w:r w:rsidR="00673838" w:rsidRPr="00F12A58">
        <w:rPr>
          <w:b/>
          <w:i/>
          <w:u w:val="single"/>
        </w:rPr>
        <w:t xml:space="preserve">once the </w:t>
      </w:r>
      <w:r w:rsidR="00615D7D">
        <w:rPr>
          <w:b/>
          <w:i/>
          <w:u w:val="single"/>
        </w:rPr>
        <w:t>client</w:t>
      </w:r>
      <w:r w:rsidR="00673838" w:rsidRPr="00F12A58">
        <w:rPr>
          <w:b/>
          <w:i/>
          <w:u w:val="single"/>
        </w:rPr>
        <w:t xml:space="preserve"> </w:t>
      </w:r>
      <w:r w:rsidR="5E7665A2" w:rsidRPr="00F12A58">
        <w:rPr>
          <w:b/>
          <w:i/>
          <w:u w:val="single"/>
        </w:rPr>
        <w:t xml:space="preserve">exits </w:t>
      </w:r>
      <w:r w:rsidR="0001459B" w:rsidRPr="00F12A58">
        <w:rPr>
          <w:b/>
          <w:i/>
          <w:u w:val="single"/>
        </w:rPr>
        <w:t>s</w:t>
      </w:r>
      <w:r w:rsidR="00425413" w:rsidRPr="00F12A58">
        <w:rPr>
          <w:b/>
          <w:i/>
          <w:u w:val="single"/>
        </w:rPr>
        <w:t>ervices</w:t>
      </w:r>
      <w:r w:rsidR="00FF1310">
        <w:t xml:space="preserve"> (i.e., case close out)</w:t>
      </w:r>
      <w:r w:rsidR="00425413">
        <w:t>.</w:t>
      </w:r>
      <w:r w:rsidR="002D0408">
        <w:t xml:space="preserve"> </w:t>
      </w:r>
      <w:r w:rsidR="002E49A0">
        <w:t>Wait to c</w:t>
      </w:r>
      <w:r w:rsidR="000F3E42">
        <w:t xml:space="preserve">omplete the Family Referral Information section in the database </w:t>
      </w:r>
      <w:r w:rsidR="002E49A0">
        <w:t>until</w:t>
      </w:r>
      <w:r w:rsidR="000F3E42">
        <w:t xml:space="preserve"> the family exits services.</w:t>
      </w:r>
      <w:r w:rsidR="00354746">
        <w:t xml:space="preserve"> </w:t>
      </w:r>
      <w:r w:rsidR="000B3853">
        <w:t>These forms are</w:t>
      </w:r>
      <w:r w:rsidR="003A5622">
        <w:t xml:space="preserve"> to be completed for </w:t>
      </w:r>
      <w:r w:rsidR="002D0408">
        <w:t xml:space="preserve">all </w:t>
      </w:r>
      <w:r w:rsidR="008B044A">
        <w:t>clients</w:t>
      </w:r>
      <w:r w:rsidR="002D0408">
        <w:t xml:space="preserve"> </w:t>
      </w:r>
      <w:r w:rsidR="00AE6CB2">
        <w:t>who</w:t>
      </w:r>
      <w:r w:rsidR="002D0408">
        <w:t xml:space="preserve"> received</w:t>
      </w:r>
      <w:r w:rsidR="00810C32">
        <w:t xml:space="preserve"> </w:t>
      </w:r>
      <w:r w:rsidR="007042E5" w:rsidRPr="00474FAD">
        <w:rPr>
          <w:b/>
          <w:bCs/>
        </w:rPr>
        <w:t>ANY</w:t>
      </w:r>
      <w:r w:rsidR="00C64831" w:rsidRPr="00474FAD">
        <w:rPr>
          <w:b/>
          <w:bCs/>
        </w:rPr>
        <w:t xml:space="preserve"> </w:t>
      </w:r>
      <w:r w:rsidR="002D0408">
        <w:t>services</w:t>
      </w:r>
      <w:r w:rsidR="00CC3889">
        <w:t xml:space="preserve"> (e.g., referrals</w:t>
      </w:r>
      <w:r w:rsidR="00EF5EBA">
        <w:t>, crisis intervention</w:t>
      </w:r>
      <w:r w:rsidR="00B664D7">
        <w:t>)</w:t>
      </w:r>
      <w:r w:rsidR="000B3853">
        <w:t xml:space="preserve"> for at least one month</w:t>
      </w:r>
      <w:r w:rsidR="002D0408">
        <w:t>.</w:t>
      </w:r>
      <w:r w:rsidR="00425413">
        <w:t xml:space="preserve"> They should be completed as soon as possible, but no later than two weeks after </w:t>
      </w:r>
      <w:r w:rsidR="001F47B7">
        <w:t xml:space="preserve">a </w:t>
      </w:r>
      <w:r w:rsidR="00E02E4A">
        <w:t xml:space="preserve">client or the </w:t>
      </w:r>
      <w:r w:rsidR="001F47B7">
        <w:t xml:space="preserve">family </w:t>
      </w:r>
      <w:r w:rsidR="002D0408">
        <w:t xml:space="preserve">exits </w:t>
      </w:r>
      <w:r w:rsidR="00930B86">
        <w:t>services</w:t>
      </w:r>
      <w:r w:rsidR="001F47B7">
        <w:t xml:space="preserve">. </w:t>
      </w:r>
      <w:r w:rsidR="00425413">
        <w:t xml:space="preserve"> </w:t>
      </w:r>
    </w:p>
    <w:p w14:paraId="7CBF3BBE" w14:textId="77777777" w:rsidR="000B65B0" w:rsidRDefault="000B65B0" w:rsidP="00B12F5C">
      <w:pPr>
        <w:rPr>
          <w:iCs/>
        </w:rPr>
      </w:pPr>
    </w:p>
    <w:p w14:paraId="54414E55" w14:textId="6D52E9B3" w:rsidR="00465E56" w:rsidRDefault="00465E56" w:rsidP="00B12F5C">
      <w:r>
        <w:rPr>
          <w:b/>
          <w:u w:val="single"/>
        </w:rPr>
        <w:t xml:space="preserve">III. </w:t>
      </w:r>
      <w:r w:rsidRPr="0054576C">
        <w:rPr>
          <w:b/>
          <w:u w:val="single"/>
        </w:rPr>
        <w:t xml:space="preserve">Assessment </w:t>
      </w:r>
      <w:r>
        <w:rPr>
          <w:b/>
          <w:u w:val="single"/>
        </w:rPr>
        <w:t>Data Entry</w:t>
      </w:r>
      <w:r w:rsidR="00003D8C">
        <w:rPr>
          <w:b/>
          <w:u w:val="single"/>
        </w:rPr>
        <w:t>:</w:t>
      </w:r>
    </w:p>
    <w:p w14:paraId="40DB70C6" w14:textId="77777777" w:rsidR="00003D8C" w:rsidRDefault="00003D8C" w:rsidP="00B12F5C"/>
    <w:p w14:paraId="045CF864" w14:textId="712E1A2D" w:rsidR="00D25999" w:rsidRDefault="00003D8C" w:rsidP="00D25999">
      <w:r>
        <w:t>Providers should enter all</w:t>
      </w:r>
      <w:r w:rsidR="005A225E">
        <w:t xml:space="preserve"> assessment</w:t>
      </w:r>
      <w:r>
        <w:t xml:space="preserve"> data </w:t>
      </w:r>
      <w:r w:rsidR="00465E56">
        <w:t xml:space="preserve">into the </w:t>
      </w:r>
      <w:r w:rsidR="00826629">
        <w:t xml:space="preserve">SFS </w:t>
      </w:r>
      <w:r w:rsidR="00465E56">
        <w:t xml:space="preserve">database on a </w:t>
      </w:r>
      <w:r w:rsidR="00EC732E">
        <w:t>quarterly</w:t>
      </w:r>
      <w:r w:rsidR="00465E56">
        <w:t xml:space="preserve"> basis</w:t>
      </w:r>
      <w:r w:rsidR="009A1079">
        <w:t xml:space="preserve"> within 15 days of </w:t>
      </w:r>
      <w:r w:rsidR="00980E47">
        <w:t>each quarterly grant reporting period</w:t>
      </w:r>
      <w:r w:rsidR="00E34D3A">
        <w:t xml:space="preserve"> end</w:t>
      </w:r>
      <w:r w:rsidR="005567FD">
        <w:t>ing</w:t>
      </w:r>
      <w:r w:rsidR="005B4DE5">
        <w:t>.</w:t>
      </w:r>
      <w:r w:rsidR="00F913BE">
        <w:t xml:space="preserve"> </w:t>
      </w:r>
      <w:r w:rsidR="00D832BE">
        <w:t>These dates are October 15</w:t>
      </w:r>
      <w:r w:rsidR="00D832BE" w:rsidRPr="7A4EBF1F">
        <w:rPr>
          <w:vertAlign w:val="superscript"/>
        </w:rPr>
        <w:t>th</w:t>
      </w:r>
      <w:r w:rsidR="00D832BE">
        <w:t>, January 15</w:t>
      </w:r>
      <w:r w:rsidR="00D832BE" w:rsidRPr="7A4EBF1F">
        <w:rPr>
          <w:vertAlign w:val="superscript"/>
        </w:rPr>
        <w:t>th</w:t>
      </w:r>
      <w:r w:rsidR="00D832BE">
        <w:t>, April 15</w:t>
      </w:r>
      <w:r w:rsidR="00D832BE" w:rsidRPr="7A4EBF1F">
        <w:rPr>
          <w:vertAlign w:val="superscript"/>
        </w:rPr>
        <w:t>th</w:t>
      </w:r>
      <w:r w:rsidR="00D832BE">
        <w:t>, and July 15</w:t>
      </w:r>
      <w:r w:rsidR="00D832BE" w:rsidRPr="7A4EBF1F">
        <w:rPr>
          <w:vertAlign w:val="superscript"/>
        </w:rPr>
        <w:t>th</w:t>
      </w:r>
      <w:r w:rsidR="00D832BE">
        <w:t xml:space="preserve">. </w:t>
      </w:r>
      <w:r w:rsidR="00987785">
        <w:t>Researchers will</w:t>
      </w:r>
      <w:r w:rsidR="000F2F3C">
        <w:t xml:space="preserve"> </w:t>
      </w:r>
      <w:r w:rsidR="00267D17">
        <w:t>examine</w:t>
      </w:r>
      <w:r w:rsidR="004A13D5">
        <w:t xml:space="preserve"> data receipts</w:t>
      </w:r>
      <w:r w:rsidR="00267D17">
        <w:t>,</w:t>
      </w:r>
      <w:r w:rsidR="005567FD">
        <w:t xml:space="preserve"> indicating the </w:t>
      </w:r>
      <w:r w:rsidR="000C4140">
        <w:t>amount of intake, assessment</w:t>
      </w:r>
      <w:r w:rsidR="00267D17">
        <w:t>, and exit data entered in the database</w:t>
      </w:r>
      <w:r w:rsidR="00BB47A6">
        <w:t>,</w:t>
      </w:r>
      <w:r w:rsidR="00267D17">
        <w:t xml:space="preserve"> </w:t>
      </w:r>
      <w:r w:rsidR="006D221D">
        <w:t xml:space="preserve">following </w:t>
      </w:r>
      <w:r w:rsidR="00F0073B">
        <w:t>each quarterly reporting period</w:t>
      </w:r>
      <w:r w:rsidR="004A13D5">
        <w:t xml:space="preserve"> to</w:t>
      </w:r>
      <w:r w:rsidR="00B86AA0">
        <w:t xml:space="preserve"> </w:t>
      </w:r>
      <w:r w:rsidR="003A24BD">
        <w:t>assess data entry trends</w:t>
      </w:r>
      <w:r w:rsidR="00BF12B9">
        <w:t>.</w:t>
      </w:r>
      <w:r w:rsidR="003A24BD">
        <w:t xml:space="preserve"> </w:t>
      </w:r>
      <w:r w:rsidR="00BF12B9">
        <w:t>They</w:t>
      </w:r>
      <w:r w:rsidR="003A24BD">
        <w:t xml:space="preserve"> will follow-up with sites </w:t>
      </w:r>
      <w:r w:rsidR="00E45FA5">
        <w:t xml:space="preserve">that have </w:t>
      </w:r>
      <w:r w:rsidR="00E443DA">
        <w:t>entered limited data</w:t>
      </w:r>
      <w:r w:rsidR="000F2FE2">
        <w:t xml:space="preserve"> to better understand any barriers </w:t>
      </w:r>
      <w:r w:rsidR="007B7876">
        <w:t>and to strategize approaches for improving data entry practices</w:t>
      </w:r>
      <w:r w:rsidR="001B339C">
        <w:t xml:space="preserve">. </w:t>
      </w:r>
    </w:p>
    <w:p w14:paraId="1C120124" w14:textId="77777777" w:rsidR="009155AF" w:rsidRDefault="009155AF" w:rsidP="001B339C">
      <w:pPr>
        <w:ind w:left="720"/>
        <w:rPr>
          <w:b/>
          <w:color w:val="C00000"/>
        </w:rPr>
      </w:pPr>
    </w:p>
    <w:p w14:paraId="34569340" w14:textId="72E025AB" w:rsidR="001B339C" w:rsidRDefault="001B339C" w:rsidP="001B339C">
      <w:pPr>
        <w:ind w:left="720"/>
        <w:rPr>
          <w:b/>
          <w:color w:val="C00000"/>
        </w:rPr>
      </w:pPr>
      <w:r w:rsidRPr="00D274CB">
        <w:rPr>
          <w:b/>
          <w:color w:val="C00000"/>
        </w:rPr>
        <w:t>NOTE:</w:t>
      </w:r>
    </w:p>
    <w:p w14:paraId="560158C3" w14:textId="66B0C2C5" w:rsidR="001B339C" w:rsidRDefault="000B1CD3" w:rsidP="7A4EBF1F">
      <w:pPr>
        <w:pStyle w:val="ListParagraph"/>
        <w:numPr>
          <w:ilvl w:val="0"/>
          <w:numId w:val="25"/>
        </w:numPr>
        <w:rPr>
          <w:color w:val="4472C4" w:themeColor="accent1"/>
        </w:rPr>
      </w:pPr>
      <w:r w:rsidRPr="7A4EBF1F">
        <w:t xml:space="preserve">All data from the </w:t>
      </w:r>
      <w:r w:rsidR="00251F25" w:rsidRPr="7A4EBF1F">
        <w:t xml:space="preserve">prior state fiscal year </w:t>
      </w:r>
      <w:r w:rsidR="00251F25" w:rsidRPr="7A4EBF1F">
        <w:rPr>
          <w:b/>
          <w:bCs/>
          <w:u w:val="single"/>
        </w:rPr>
        <w:t>must be entered</w:t>
      </w:r>
      <w:r w:rsidR="00611E15" w:rsidRPr="7A4EBF1F">
        <w:rPr>
          <w:b/>
          <w:bCs/>
          <w:u w:val="single"/>
        </w:rPr>
        <w:t xml:space="preserve"> in the database</w:t>
      </w:r>
      <w:r w:rsidR="00251F25" w:rsidRPr="7A4EBF1F">
        <w:rPr>
          <w:b/>
          <w:bCs/>
          <w:u w:val="single"/>
        </w:rPr>
        <w:t xml:space="preserve"> no later than July 15</w:t>
      </w:r>
      <w:r w:rsidR="00251F25" w:rsidRPr="7A4EBF1F">
        <w:rPr>
          <w:b/>
          <w:bCs/>
          <w:u w:val="single"/>
          <w:vertAlign w:val="superscript"/>
        </w:rPr>
        <w:t>th</w:t>
      </w:r>
      <w:r w:rsidR="00251F25" w:rsidRPr="7A4EBF1F">
        <w:t xml:space="preserve">. </w:t>
      </w:r>
      <w:r w:rsidR="00A121B2" w:rsidRPr="7A4EBF1F">
        <w:t>This includes data from the fourth quarter</w:t>
      </w:r>
      <w:r w:rsidR="00071815" w:rsidRPr="7A4EBF1F">
        <w:t xml:space="preserve"> </w:t>
      </w:r>
      <w:r w:rsidR="00140835" w:rsidRPr="7A4EBF1F">
        <w:t xml:space="preserve">(i.e., </w:t>
      </w:r>
      <w:r w:rsidR="00674A66" w:rsidRPr="7A4EBF1F">
        <w:t xml:space="preserve">April to June) and </w:t>
      </w:r>
      <w:r w:rsidR="006C74D8" w:rsidRPr="7A4EBF1F">
        <w:t>any missing or incomplete data from prior quarters</w:t>
      </w:r>
      <w:r w:rsidR="00B452A0" w:rsidRPr="7A4EBF1F">
        <w:t xml:space="preserve"> (</w:t>
      </w:r>
      <w:r w:rsidR="00EA38A5" w:rsidRPr="7A4EBF1F">
        <w:t xml:space="preserve">i.e., </w:t>
      </w:r>
      <w:r w:rsidR="00B2378F" w:rsidRPr="7A4EBF1F">
        <w:t xml:space="preserve">July to March). </w:t>
      </w:r>
      <w:r w:rsidR="001167CA" w:rsidRPr="7A4EBF1F">
        <w:t xml:space="preserve">Researchers use these data to </w:t>
      </w:r>
      <w:r w:rsidR="00B03B5B" w:rsidRPr="7A4EBF1F">
        <w:t xml:space="preserve">generate statistics for annual reporting to </w:t>
      </w:r>
      <w:r w:rsidR="00C40AB6" w:rsidRPr="7A4EBF1F">
        <w:t xml:space="preserve">Illinois’ Office of Management and Budget; therefore, it is crucial </w:t>
      </w:r>
      <w:r w:rsidR="00FD786E" w:rsidRPr="7A4EBF1F">
        <w:t xml:space="preserve">for these data to be submitted on time and </w:t>
      </w:r>
      <w:r w:rsidR="00974068" w:rsidRPr="7A4EBF1F">
        <w:t>with limited missing or incomplete data.</w:t>
      </w:r>
      <w:r w:rsidR="00974068" w:rsidRPr="7A4EBF1F">
        <w:rPr>
          <w:color w:val="4472C4" w:themeColor="accent1"/>
        </w:rPr>
        <w:t xml:space="preserve"> </w:t>
      </w:r>
      <w:r w:rsidR="00735AB1" w:rsidRPr="7A4EBF1F">
        <w:rPr>
          <w:color w:val="4472C4" w:themeColor="accent1"/>
        </w:rPr>
        <w:t xml:space="preserve"> </w:t>
      </w:r>
      <w:r w:rsidR="002B43A1" w:rsidRPr="7A4EBF1F">
        <w:rPr>
          <w:color w:val="4472C4" w:themeColor="accent1"/>
        </w:rPr>
        <w:t xml:space="preserve"> </w:t>
      </w:r>
      <w:r w:rsidR="000161BA" w:rsidRPr="7A4EBF1F">
        <w:rPr>
          <w:color w:val="4472C4" w:themeColor="accent1"/>
        </w:rPr>
        <w:t xml:space="preserve"> </w:t>
      </w:r>
    </w:p>
    <w:p w14:paraId="4BA61ABE" w14:textId="7479F751" w:rsidR="00597ABE" w:rsidRDefault="00597ABE" w:rsidP="007C7F53"/>
    <w:p w14:paraId="3FF222F1" w14:textId="60C0F7FD" w:rsidR="00A31384" w:rsidRDefault="00A31384"/>
    <w:p w14:paraId="14CEAD66" w14:textId="15DBD5CD" w:rsidR="29AF39F7" w:rsidRDefault="29AF39F7"/>
    <w:p w14:paraId="7AABE705" w14:textId="795367BB" w:rsidR="29AF39F7" w:rsidRDefault="29AF39F7"/>
    <w:p w14:paraId="66E6879B" w14:textId="644015E0" w:rsidR="29AF39F7" w:rsidRDefault="29AF39F7"/>
    <w:p w14:paraId="3D140792" w14:textId="5AB409C7" w:rsidR="29AF39F7" w:rsidRDefault="29AF39F7"/>
    <w:p w14:paraId="77F70658" w14:textId="04AEEEA4" w:rsidR="29AF39F7" w:rsidRDefault="29AF39F7"/>
    <w:p w14:paraId="5E55A5CE" w14:textId="77777777" w:rsidR="007C7F53" w:rsidRDefault="007C7F53" w:rsidP="007C7F53"/>
    <w:p w14:paraId="1A1A5E01" w14:textId="77777777" w:rsidR="00296045" w:rsidRDefault="00296045" w:rsidP="00D72047">
      <w:pPr>
        <w:jc w:val="center"/>
        <w:rPr>
          <w:b/>
          <w:bCs/>
        </w:rPr>
      </w:pPr>
    </w:p>
    <w:p w14:paraId="16019449" w14:textId="77777777" w:rsidR="00D72047" w:rsidRDefault="00D72047" w:rsidP="00D72047">
      <w:pPr>
        <w:jc w:val="center"/>
        <w:rPr>
          <w:b/>
          <w:bCs/>
        </w:rPr>
      </w:pPr>
    </w:p>
    <w:p w14:paraId="54D25868" w14:textId="77777777" w:rsidR="00D72047" w:rsidRDefault="00D72047" w:rsidP="00D72047">
      <w:pPr>
        <w:jc w:val="center"/>
        <w:rPr>
          <w:b/>
          <w:bCs/>
        </w:rPr>
      </w:pPr>
    </w:p>
    <w:p w14:paraId="3CC6A5C2" w14:textId="77777777" w:rsidR="00D72047" w:rsidRDefault="00D72047" w:rsidP="00D72047">
      <w:pPr>
        <w:jc w:val="center"/>
        <w:rPr>
          <w:b/>
          <w:bCs/>
        </w:rPr>
      </w:pPr>
    </w:p>
    <w:p w14:paraId="3BE4703B" w14:textId="77777777" w:rsidR="003A537D" w:rsidRDefault="003A537D" w:rsidP="00D72047">
      <w:pPr>
        <w:jc w:val="center"/>
        <w:rPr>
          <w:b/>
          <w:bCs/>
        </w:rPr>
      </w:pPr>
    </w:p>
    <w:p w14:paraId="2AA42D55" w14:textId="05894665" w:rsidR="009304EE" w:rsidRDefault="009304EE" w:rsidP="29AF39F7">
      <w:pPr>
        <w:jc w:val="center"/>
        <w:rPr>
          <w:b/>
        </w:rPr>
      </w:pPr>
    </w:p>
    <w:sectPr w:rsidR="009304EE" w:rsidSect="004E329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D1847" w14:textId="77777777" w:rsidR="00F23E49" w:rsidRDefault="00F23E49" w:rsidP="00597ABE">
      <w:r>
        <w:separator/>
      </w:r>
    </w:p>
  </w:endnote>
  <w:endnote w:type="continuationSeparator" w:id="0">
    <w:p w14:paraId="6FD9F4F0" w14:textId="77777777" w:rsidR="00F23E49" w:rsidRDefault="00F23E49" w:rsidP="00597ABE">
      <w:r>
        <w:continuationSeparator/>
      </w:r>
    </w:p>
  </w:endnote>
  <w:endnote w:type="continuationNotice" w:id="1">
    <w:p w14:paraId="06756CDB" w14:textId="77777777" w:rsidR="00F23E49" w:rsidRDefault="00F23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015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36288" w14:textId="1223D24A" w:rsidR="00795BB1" w:rsidRDefault="00795B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6BBABA" w14:textId="555F580B" w:rsidR="00597ABE" w:rsidRDefault="00597ABE" w:rsidP="00DE259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1550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347D9" w14:textId="5349CE28" w:rsidR="002B76A8" w:rsidRDefault="002B76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B2BD4" w14:textId="30C04DDE" w:rsidR="00321BE6" w:rsidRDefault="00321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BC0AF" w14:textId="77777777" w:rsidR="00F23E49" w:rsidRDefault="00F23E49" w:rsidP="00597ABE">
      <w:r>
        <w:separator/>
      </w:r>
    </w:p>
  </w:footnote>
  <w:footnote w:type="continuationSeparator" w:id="0">
    <w:p w14:paraId="1F54BC8C" w14:textId="77777777" w:rsidR="00F23E49" w:rsidRDefault="00F23E49" w:rsidP="00597ABE">
      <w:r>
        <w:continuationSeparator/>
      </w:r>
    </w:p>
  </w:footnote>
  <w:footnote w:type="continuationNotice" w:id="1">
    <w:p w14:paraId="6688585B" w14:textId="77777777" w:rsidR="00F23E49" w:rsidRDefault="00F23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86663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C31B6E" w14:textId="2707B9D7" w:rsidR="0087304F" w:rsidRDefault="461D897E">
        <w:pPr>
          <w:pStyle w:val="Header"/>
          <w:jc w:val="right"/>
        </w:pPr>
        <w:r>
          <w:t>October 1, 2024</w:t>
        </w:r>
      </w:p>
    </w:sdtContent>
  </w:sdt>
  <w:p w14:paraId="79A5B618" w14:textId="77777777" w:rsidR="00516E66" w:rsidRDefault="00516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61D897E" w14:paraId="62DA4256" w14:textId="77777777" w:rsidTr="001F684F">
      <w:trPr>
        <w:trHeight w:val="300"/>
      </w:trPr>
      <w:tc>
        <w:tcPr>
          <w:tcW w:w="3600" w:type="dxa"/>
        </w:tcPr>
        <w:p w14:paraId="1403CCE3" w14:textId="7C503115" w:rsidR="461D897E" w:rsidRDefault="461D897E" w:rsidP="001F684F">
          <w:pPr>
            <w:pStyle w:val="Header"/>
            <w:ind w:left="-115"/>
          </w:pPr>
        </w:p>
      </w:tc>
      <w:tc>
        <w:tcPr>
          <w:tcW w:w="3600" w:type="dxa"/>
        </w:tcPr>
        <w:p w14:paraId="186D1E96" w14:textId="1F168B53" w:rsidR="461D897E" w:rsidRDefault="461D897E" w:rsidP="001F684F">
          <w:pPr>
            <w:pStyle w:val="Header"/>
            <w:jc w:val="center"/>
          </w:pPr>
        </w:p>
      </w:tc>
      <w:tc>
        <w:tcPr>
          <w:tcW w:w="3600" w:type="dxa"/>
        </w:tcPr>
        <w:sdt>
          <w:sdtPr>
            <w:id w:val="-1438675246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p w14:paraId="3B7F979A" w14:textId="77777777" w:rsidR="002B76A8" w:rsidRDefault="002B76A8" w:rsidP="002B76A8">
              <w:pPr>
                <w:pStyle w:val="Header"/>
                <w:jc w:val="right"/>
              </w:pPr>
              <w:r>
                <w:t>October 1, 2024</w:t>
              </w:r>
            </w:p>
          </w:sdtContent>
        </w:sdt>
        <w:p w14:paraId="3330B736" w14:textId="3756C165" w:rsidR="461D897E" w:rsidRDefault="461D897E" w:rsidP="001F684F">
          <w:pPr>
            <w:pStyle w:val="Header"/>
            <w:ind w:right="-115"/>
            <w:jc w:val="right"/>
          </w:pPr>
        </w:p>
      </w:tc>
    </w:tr>
  </w:tbl>
  <w:p w14:paraId="3AEF5FEF" w14:textId="087F7391" w:rsidR="00321BE6" w:rsidRDefault="00321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74A"/>
    <w:multiLevelType w:val="hybridMultilevel"/>
    <w:tmpl w:val="006C99B8"/>
    <w:lvl w:ilvl="0" w:tplc="C9C2B820">
      <w:start w:val="1"/>
      <w:numFmt w:val="decimal"/>
      <w:lvlText w:val="%1."/>
      <w:lvlJc w:val="left"/>
      <w:pPr>
        <w:ind w:left="78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C84986"/>
    <w:multiLevelType w:val="hybridMultilevel"/>
    <w:tmpl w:val="1F8A7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D5B4B"/>
    <w:multiLevelType w:val="hybridMultilevel"/>
    <w:tmpl w:val="360C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51F7A"/>
    <w:multiLevelType w:val="hybridMultilevel"/>
    <w:tmpl w:val="A330E4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2C5F"/>
    <w:multiLevelType w:val="hybridMultilevel"/>
    <w:tmpl w:val="D61A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A52"/>
    <w:multiLevelType w:val="hybridMultilevel"/>
    <w:tmpl w:val="6F769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A820EB"/>
    <w:multiLevelType w:val="hybridMultilevel"/>
    <w:tmpl w:val="A330E4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3207"/>
    <w:multiLevelType w:val="hybridMultilevel"/>
    <w:tmpl w:val="CE4E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578"/>
    <w:multiLevelType w:val="hybridMultilevel"/>
    <w:tmpl w:val="8A5440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F04582"/>
    <w:multiLevelType w:val="hybridMultilevel"/>
    <w:tmpl w:val="40963CD2"/>
    <w:lvl w:ilvl="0" w:tplc="D6401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5A7B"/>
    <w:multiLevelType w:val="hybridMultilevel"/>
    <w:tmpl w:val="44526570"/>
    <w:lvl w:ilvl="0" w:tplc="E918E202">
      <w:start w:val="1"/>
      <w:numFmt w:val="decimal"/>
      <w:lvlText w:val="%1."/>
      <w:lvlJc w:val="left"/>
      <w:pPr>
        <w:ind w:left="78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9A5E81"/>
    <w:multiLevelType w:val="multilevel"/>
    <w:tmpl w:val="FD5C6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Q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F956987"/>
    <w:multiLevelType w:val="multilevel"/>
    <w:tmpl w:val="7BC8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A46A4"/>
    <w:multiLevelType w:val="hybridMultilevel"/>
    <w:tmpl w:val="A4C6D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1A3805"/>
    <w:multiLevelType w:val="hybridMultilevel"/>
    <w:tmpl w:val="C2388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7317F0"/>
    <w:multiLevelType w:val="multilevel"/>
    <w:tmpl w:val="290E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1B18E5"/>
    <w:multiLevelType w:val="hybridMultilevel"/>
    <w:tmpl w:val="16A6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A5836"/>
    <w:multiLevelType w:val="hybridMultilevel"/>
    <w:tmpl w:val="BDD08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E27CA8"/>
    <w:multiLevelType w:val="hybridMultilevel"/>
    <w:tmpl w:val="0194C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52939"/>
    <w:multiLevelType w:val="hybridMultilevel"/>
    <w:tmpl w:val="A330E4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10BF0"/>
    <w:multiLevelType w:val="hybridMultilevel"/>
    <w:tmpl w:val="29D6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26A77"/>
    <w:multiLevelType w:val="hybridMultilevel"/>
    <w:tmpl w:val="29F4C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626CB"/>
    <w:multiLevelType w:val="hybridMultilevel"/>
    <w:tmpl w:val="FD58C82C"/>
    <w:lvl w:ilvl="0" w:tplc="BDCCC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3C547F"/>
    <w:multiLevelType w:val="hybridMultilevel"/>
    <w:tmpl w:val="5688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D6CC4"/>
    <w:multiLevelType w:val="hybridMultilevel"/>
    <w:tmpl w:val="A330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42972">
    <w:abstractNumId w:val="7"/>
  </w:num>
  <w:num w:numId="2" w16cid:durableId="473379251">
    <w:abstractNumId w:val="24"/>
  </w:num>
  <w:num w:numId="3" w16cid:durableId="1698968753">
    <w:abstractNumId w:val="16"/>
  </w:num>
  <w:num w:numId="4" w16cid:durableId="393357821">
    <w:abstractNumId w:val="18"/>
  </w:num>
  <w:num w:numId="5" w16cid:durableId="469591201">
    <w:abstractNumId w:val="12"/>
  </w:num>
  <w:num w:numId="6" w16cid:durableId="1332752456">
    <w:abstractNumId w:val="19"/>
  </w:num>
  <w:num w:numId="7" w16cid:durableId="2077699076">
    <w:abstractNumId w:val="6"/>
  </w:num>
  <w:num w:numId="8" w16cid:durableId="1303384594">
    <w:abstractNumId w:val="3"/>
  </w:num>
  <w:num w:numId="9" w16cid:durableId="28915972">
    <w:abstractNumId w:val="11"/>
  </w:num>
  <w:num w:numId="10" w16cid:durableId="380833215">
    <w:abstractNumId w:val="1"/>
  </w:num>
  <w:num w:numId="11" w16cid:durableId="221794145">
    <w:abstractNumId w:val="20"/>
  </w:num>
  <w:num w:numId="12" w16cid:durableId="47187533">
    <w:abstractNumId w:val="23"/>
  </w:num>
  <w:num w:numId="13" w16cid:durableId="1516533924">
    <w:abstractNumId w:val="9"/>
  </w:num>
  <w:num w:numId="14" w16cid:durableId="1811821995">
    <w:abstractNumId w:val="2"/>
  </w:num>
  <w:num w:numId="15" w16cid:durableId="269048420">
    <w:abstractNumId w:val="21"/>
  </w:num>
  <w:num w:numId="16" w16cid:durableId="1831872700">
    <w:abstractNumId w:val="14"/>
  </w:num>
  <w:num w:numId="17" w16cid:durableId="2063744429">
    <w:abstractNumId w:val="13"/>
  </w:num>
  <w:num w:numId="18" w16cid:durableId="1407990447">
    <w:abstractNumId w:val="0"/>
  </w:num>
  <w:num w:numId="19" w16cid:durableId="300548795">
    <w:abstractNumId w:val="10"/>
  </w:num>
  <w:num w:numId="20" w16cid:durableId="27606698">
    <w:abstractNumId w:val="4"/>
  </w:num>
  <w:num w:numId="21" w16cid:durableId="1329482743">
    <w:abstractNumId w:val="15"/>
  </w:num>
  <w:num w:numId="22" w16cid:durableId="15429057">
    <w:abstractNumId w:val="17"/>
  </w:num>
  <w:num w:numId="23" w16cid:durableId="1218735794">
    <w:abstractNumId w:val="5"/>
  </w:num>
  <w:num w:numId="24" w16cid:durableId="2040541912">
    <w:abstractNumId w:val="8"/>
  </w:num>
  <w:num w:numId="25" w16cid:durableId="11226548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53"/>
    <w:rsid w:val="000017EF"/>
    <w:rsid w:val="0000199D"/>
    <w:rsid w:val="00002229"/>
    <w:rsid w:val="00002238"/>
    <w:rsid w:val="0000270E"/>
    <w:rsid w:val="000031F8"/>
    <w:rsid w:val="0000339C"/>
    <w:rsid w:val="00003D8C"/>
    <w:rsid w:val="00004710"/>
    <w:rsid w:val="000049EC"/>
    <w:rsid w:val="000052B5"/>
    <w:rsid w:val="000055AF"/>
    <w:rsid w:val="00005D01"/>
    <w:rsid w:val="00006397"/>
    <w:rsid w:val="00007846"/>
    <w:rsid w:val="00010EF4"/>
    <w:rsid w:val="00011B1C"/>
    <w:rsid w:val="000121A0"/>
    <w:rsid w:val="00012B31"/>
    <w:rsid w:val="00012C6E"/>
    <w:rsid w:val="00013226"/>
    <w:rsid w:val="00013C52"/>
    <w:rsid w:val="0001459B"/>
    <w:rsid w:val="00014A6B"/>
    <w:rsid w:val="00014ED7"/>
    <w:rsid w:val="00016157"/>
    <w:rsid w:val="000161BA"/>
    <w:rsid w:val="00016D24"/>
    <w:rsid w:val="000170BF"/>
    <w:rsid w:val="00017535"/>
    <w:rsid w:val="00017959"/>
    <w:rsid w:val="000179DD"/>
    <w:rsid w:val="00017E45"/>
    <w:rsid w:val="000209AA"/>
    <w:rsid w:val="00021257"/>
    <w:rsid w:val="0002242C"/>
    <w:rsid w:val="000239CD"/>
    <w:rsid w:val="00023BE2"/>
    <w:rsid w:val="0002567B"/>
    <w:rsid w:val="000262C6"/>
    <w:rsid w:val="0002667F"/>
    <w:rsid w:val="0002713E"/>
    <w:rsid w:val="00031C7A"/>
    <w:rsid w:val="00032349"/>
    <w:rsid w:val="00033DB9"/>
    <w:rsid w:val="00034B1B"/>
    <w:rsid w:val="00034B88"/>
    <w:rsid w:val="00034C3B"/>
    <w:rsid w:val="00036006"/>
    <w:rsid w:val="00036E07"/>
    <w:rsid w:val="00037B8D"/>
    <w:rsid w:val="00037ECE"/>
    <w:rsid w:val="00040F5D"/>
    <w:rsid w:val="00043185"/>
    <w:rsid w:val="00043D4D"/>
    <w:rsid w:val="000450D1"/>
    <w:rsid w:val="0004529D"/>
    <w:rsid w:val="000453E3"/>
    <w:rsid w:val="0004591D"/>
    <w:rsid w:val="00045F33"/>
    <w:rsid w:val="0004672C"/>
    <w:rsid w:val="00046D12"/>
    <w:rsid w:val="00047BD5"/>
    <w:rsid w:val="000504A6"/>
    <w:rsid w:val="00050BDA"/>
    <w:rsid w:val="00050CDE"/>
    <w:rsid w:val="00052061"/>
    <w:rsid w:val="00052EE6"/>
    <w:rsid w:val="0005397D"/>
    <w:rsid w:val="00053C15"/>
    <w:rsid w:val="00054126"/>
    <w:rsid w:val="00054EFC"/>
    <w:rsid w:val="00055E2D"/>
    <w:rsid w:val="000572ED"/>
    <w:rsid w:val="000609FE"/>
    <w:rsid w:val="00060A8E"/>
    <w:rsid w:val="00060CC4"/>
    <w:rsid w:val="000612FC"/>
    <w:rsid w:val="000622E0"/>
    <w:rsid w:val="00062525"/>
    <w:rsid w:val="00062FFD"/>
    <w:rsid w:val="00064996"/>
    <w:rsid w:val="00064FF4"/>
    <w:rsid w:val="00065F28"/>
    <w:rsid w:val="0006768A"/>
    <w:rsid w:val="00067D14"/>
    <w:rsid w:val="0007012D"/>
    <w:rsid w:val="00071815"/>
    <w:rsid w:val="00072118"/>
    <w:rsid w:val="0007273C"/>
    <w:rsid w:val="00073756"/>
    <w:rsid w:val="000738C9"/>
    <w:rsid w:val="00073D82"/>
    <w:rsid w:val="000742C1"/>
    <w:rsid w:val="000747A5"/>
    <w:rsid w:val="00074CDB"/>
    <w:rsid w:val="00075FBA"/>
    <w:rsid w:val="0007610A"/>
    <w:rsid w:val="0007648E"/>
    <w:rsid w:val="0007707F"/>
    <w:rsid w:val="00080C59"/>
    <w:rsid w:val="000820D2"/>
    <w:rsid w:val="00082ED9"/>
    <w:rsid w:val="0008376D"/>
    <w:rsid w:val="00083CEF"/>
    <w:rsid w:val="00084FEA"/>
    <w:rsid w:val="0008546B"/>
    <w:rsid w:val="00085D16"/>
    <w:rsid w:val="000872D7"/>
    <w:rsid w:val="00087591"/>
    <w:rsid w:val="0009003F"/>
    <w:rsid w:val="000925A1"/>
    <w:rsid w:val="00092BEA"/>
    <w:rsid w:val="00093102"/>
    <w:rsid w:val="000931D7"/>
    <w:rsid w:val="0009370F"/>
    <w:rsid w:val="00093A74"/>
    <w:rsid w:val="00093BDC"/>
    <w:rsid w:val="000948BD"/>
    <w:rsid w:val="00094BD2"/>
    <w:rsid w:val="0009551D"/>
    <w:rsid w:val="000962ED"/>
    <w:rsid w:val="00096689"/>
    <w:rsid w:val="0009668E"/>
    <w:rsid w:val="0009773D"/>
    <w:rsid w:val="000A055A"/>
    <w:rsid w:val="000A0DA5"/>
    <w:rsid w:val="000A1A03"/>
    <w:rsid w:val="000A2D10"/>
    <w:rsid w:val="000A2D6E"/>
    <w:rsid w:val="000A2DF6"/>
    <w:rsid w:val="000A3F02"/>
    <w:rsid w:val="000A5020"/>
    <w:rsid w:val="000A5150"/>
    <w:rsid w:val="000A5317"/>
    <w:rsid w:val="000A62D0"/>
    <w:rsid w:val="000A640A"/>
    <w:rsid w:val="000A7C17"/>
    <w:rsid w:val="000A7DD0"/>
    <w:rsid w:val="000B169E"/>
    <w:rsid w:val="000B1CD3"/>
    <w:rsid w:val="000B3580"/>
    <w:rsid w:val="000B376A"/>
    <w:rsid w:val="000B3853"/>
    <w:rsid w:val="000B41A4"/>
    <w:rsid w:val="000B42CE"/>
    <w:rsid w:val="000B5E06"/>
    <w:rsid w:val="000B65B0"/>
    <w:rsid w:val="000B6CE0"/>
    <w:rsid w:val="000B6D25"/>
    <w:rsid w:val="000B71B9"/>
    <w:rsid w:val="000B7E28"/>
    <w:rsid w:val="000C0C92"/>
    <w:rsid w:val="000C0FCA"/>
    <w:rsid w:val="000C1422"/>
    <w:rsid w:val="000C2957"/>
    <w:rsid w:val="000C2A74"/>
    <w:rsid w:val="000C34CE"/>
    <w:rsid w:val="000C3FBD"/>
    <w:rsid w:val="000C40E9"/>
    <w:rsid w:val="000C4140"/>
    <w:rsid w:val="000C416C"/>
    <w:rsid w:val="000C58F2"/>
    <w:rsid w:val="000D080B"/>
    <w:rsid w:val="000D13CA"/>
    <w:rsid w:val="000D145E"/>
    <w:rsid w:val="000D1F85"/>
    <w:rsid w:val="000D2A51"/>
    <w:rsid w:val="000D3A7E"/>
    <w:rsid w:val="000D3E3D"/>
    <w:rsid w:val="000D41AC"/>
    <w:rsid w:val="000D4545"/>
    <w:rsid w:val="000D5F50"/>
    <w:rsid w:val="000D69B0"/>
    <w:rsid w:val="000D79E4"/>
    <w:rsid w:val="000E1E19"/>
    <w:rsid w:val="000E4313"/>
    <w:rsid w:val="000E4F42"/>
    <w:rsid w:val="000E5367"/>
    <w:rsid w:val="000E7ECE"/>
    <w:rsid w:val="000F0593"/>
    <w:rsid w:val="000F0944"/>
    <w:rsid w:val="000F10C8"/>
    <w:rsid w:val="000F1757"/>
    <w:rsid w:val="000F18CC"/>
    <w:rsid w:val="000F2F3C"/>
    <w:rsid w:val="000F2FE2"/>
    <w:rsid w:val="000F3515"/>
    <w:rsid w:val="000F35D3"/>
    <w:rsid w:val="000F39B5"/>
    <w:rsid w:val="000F3E42"/>
    <w:rsid w:val="000F46A6"/>
    <w:rsid w:val="000F4A9C"/>
    <w:rsid w:val="000F4C78"/>
    <w:rsid w:val="000F56F1"/>
    <w:rsid w:val="000F5C0C"/>
    <w:rsid w:val="000F5EFF"/>
    <w:rsid w:val="000F6730"/>
    <w:rsid w:val="00100FBD"/>
    <w:rsid w:val="0010120B"/>
    <w:rsid w:val="00101536"/>
    <w:rsid w:val="00101EE8"/>
    <w:rsid w:val="00101F6E"/>
    <w:rsid w:val="0010234E"/>
    <w:rsid w:val="00102638"/>
    <w:rsid w:val="001032B3"/>
    <w:rsid w:val="001033C9"/>
    <w:rsid w:val="001038FE"/>
    <w:rsid w:val="00106A9F"/>
    <w:rsid w:val="001071BC"/>
    <w:rsid w:val="001102E2"/>
    <w:rsid w:val="00110B0F"/>
    <w:rsid w:val="00110EC0"/>
    <w:rsid w:val="00111319"/>
    <w:rsid w:val="0011198E"/>
    <w:rsid w:val="0011302C"/>
    <w:rsid w:val="0011357C"/>
    <w:rsid w:val="001143DF"/>
    <w:rsid w:val="00114804"/>
    <w:rsid w:val="00114D9B"/>
    <w:rsid w:val="0011585B"/>
    <w:rsid w:val="001167CA"/>
    <w:rsid w:val="00117207"/>
    <w:rsid w:val="00117843"/>
    <w:rsid w:val="00120927"/>
    <w:rsid w:val="00120CD5"/>
    <w:rsid w:val="00120EAA"/>
    <w:rsid w:val="001221A3"/>
    <w:rsid w:val="00122767"/>
    <w:rsid w:val="00123603"/>
    <w:rsid w:val="00123E14"/>
    <w:rsid w:val="00124B18"/>
    <w:rsid w:val="00124CC5"/>
    <w:rsid w:val="00125E37"/>
    <w:rsid w:val="00126812"/>
    <w:rsid w:val="00126A5C"/>
    <w:rsid w:val="00127259"/>
    <w:rsid w:val="00127C42"/>
    <w:rsid w:val="00130520"/>
    <w:rsid w:val="001305D9"/>
    <w:rsid w:val="00131645"/>
    <w:rsid w:val="001316A1"/>
    <w:rsid w:val="00131DFE"/>
    <w:rsid w:val="00132F98"/>
    <w:rsid w:val="00133706"/>
    <w:rsid w:val="00133ACF"/>
    <w:rsid w:val="001349BB"/>
    <w:rsid w:val="00134C2F"/>
    <w:rsid w:val="001352BB"/>
    <w:rsid w:val="00135901"/>
    <w:rsid w:val="00135DBE"/>
    <w:rsid w:val="00136618"/>
    <w:rsid w:val="00136750"/>
    <w:rsid w:val="001367E5"/>
    <w:rsid w:val="0014063F"/>
    <w:rsid w:val="00140835"/>
    <w:rsid w:val="0014088D"/>
    <w:rsid w:val="00140FB2"/>
    <w:rsid w:val="0014190E"/>
    <w:rsid w:val="00142751"/>
    <w:rsid w:val="00142CD7"/>
    <w:rsid w:val="001430A4"/>
    <w:rsid w:val="00144442"/>
    <w:rsid w:val="00144536"/>
    <w:rsid w:val="00144D81"/>
    <w:rsid w:val="00144E0D"/>
    <w:rsid w:val="00145213"/>
    <w:rsid w:val="001454DD"/>
    <w:rsid w:val="00146E0F"/>
    <w:rsid w:val="001475FF"/>
    <w:rsid w:val="001501AA"/>
    <w:rsid w:val="0015100E"/>
    <w:rsid w:val="00151A20"/>
    <w:rsid w:val="00151C76"/>
    <w:rsid w:val="00152423"/>
    <w:rsid w:val="00152445"/>
    <w:rsid w:val="001526E3"/>
    <w:rsid w:val="00152762"/>
    <w:rsid w:val="001535C1"/>
    <w:rsid w:val="00154971"/>
    <w:rsid w:val="001554E7"/>
    <w:rsid w:val="0015558D"/>
    <w:rsid w:val="001562DB"/>
    <w:rsid w:val="00156459"/>
    <w:rsid w:val="001565C4"/>
    <w:rsid w:val="00156639"/>
    <w:rsid w:val="001568D3"/>
    <w:rsid w:val="00156BA2"/>
    <w:rsid w:val="00157F53"/>
    <w:rsid w:val="0016174C"/>
    <w:rsid w:val="00161EF2"/>
    <w:rsid w:val="001620CE"/>
    <w:rsid w:val="0016214E"/>
    <w:rsid w:val="001622D9"/>
    <w:rsid w:val="001625A7"/>
    <w:rsid w:val="001625F3"/>
    <w:rsid w:val="001634F5"/>
    <w:rsid w:val="00163579"/>
    <w:rsid w:val="00163949"/>
    <w:rsid w:val="00163E5B"/>
    <w:rsid w:val="0016428F"/>
    <w:rsid w:val="00164870"/>
    <w:rsid w:val="00165177"/>
    <w:rsid w:val="00166239"/>
    <w:rsid w:val="00166918"/>
    <w:rsid w:val="00166CFF"/>
    <w:rsid w:val="00167385"/>
    <w:rsid w:val="0016777A"/>
    <w:rsid w:val="00167E04"/>
    <w:rsid w:val="00170F1C"/>
    <w:rsid w:val="00171478"/>
    <w:rsid w:val="00172C62"/>
    <w:rsid w:val="0017348C"/>
    <w:rsid w:val="00173959"/>
    <w:rsid w:val="00174613"/>
    <w:rsid w:val="001750F1"/>
    <w:rsid w:val="00175BF0"/>
    <w:rsid w:val="001765B6"/>
    <w:rsid w:val="00176B54"/>
    <w:rsid w:val="00180709"/>
    <w:rsid w:val="00180AB9"/>
    <w:rsid w:val="00180C87"/>
    <w:rsid w:val="00181762"/>
    <w:rsid w:val="00181B64"/>
    <w:rsid w:val="00181CF0"/>
    <w:rsid w:val="0018295E"/>
    <w:rsid w:val="00182A3D"/>
    <w:rsid w:val="001845BD"/>
    <w:rsid w:val="001855CC"/>
    <w:rsid w:val="001859A2"/>
    <w:rsid w:val="001862AD"/>
    <w:rsid w:val="00186ADF"/>
    <w:rsid w:val="00186D4A"/>
    <w:rsid w:val="00187034"/>
    <w:rsid w:val="00187893"/>
    <w:rsid w:val="00190168"/>
    <w:rsid w:val="001912A5"/>
    <w:rsid w:val="00192518"/>
    <w:rsid w:val="00193247"/>
    <w:rsid w:val="001941B2"/>
    <w:rsid w:val="00194269"/>
    <w:rsid w:val="0019457D"/>
    <w:rsid w:val="00194DB4"/>
    <w:rsid w:val="00195FC2"/>
    <w:rsid w:val="0019791D"/>
    <w:rsid w:val="001A14DD"/>
    <w:rsid w:val="001A1B2C"/>
    <w:rsid w:val="001A1D61"/>
    <w:rsid w:val="001A22C0"/>
    <w:rsid w:val="001A264D"/>
    <w:rsid w:val="001A2854"/>
    <w:rsid w:val="001A54A7"/>
    <w:rsid w:val="001A57D4"/>
    <w:rsid w:val="001A74C5"/>
    <w:rsid w:val="001A7506"/>
    <w:rsid w:val="001A77F3"/>
    <w:rsid w:val="001B00DB"/>
    <w:rsid w:val="001B00F0"/>
    <w:rsid w:val="001B1461"/>
    <w:rsid w:val="001B1771"/>
    <w:rsid w:val="001B277C"/>
    <w:rsid w:val="001B294A"/>
    <w:rsid w:val="001B30AF"/>
    <w:rsid w:val="001B339C"/>
    <w:rsid w:val="001B3880"/>
    <w:rsid w:val="001B3DB0"/>
    <w:rsid w:val="001B40A8"/>
    <w:rsid w:val="001B5BAC"/>
    <w:rsid w:val="001B6CBB"/>
    <w:rsid w:val="001B7D19"/>
    <w:rsid w:val="001C261D"/>
    <w:rsid w:val="001C26CE"/>
    <w:rsid w:val="001C308C"/>
    <w:rsid w:val="001C44C2"/>
    <w:rsid w:val="001C45EA"/>
    <w:rsid w:val="001C4EC3"/>
    <w:rsid w:val="001C53E7"/>
    <w:rsid w:val="001C59BC"/>
    <w:rsid w:val="001C5E35"/>
    <w:rsid w:val="001C5E61"/>
    <w:rsid w:val="001C7161"/>
    <w:rsid w:val="001C7F09"/>
    <w:rsid w:val="001D1FF2"/>
    <w:rsid w:val="001D2561"/>
    <w:rsid w:val="001D2676"/>
    <w:rsid w:val="001D33C1"/>
    <w:rsid w:val="001D3679"/>
    <w:rsid w:val="001D577D"/>
    <w:rsid w:val="001D587E"/>
    <w:rsid w:val="001D5A60"/>
    <w:rsid w:val="001D6BD1"/>
    <w:rsid w:val="001D6DBB"/>
    <w:rsid w:val="001E0FD7"/>
    <w:rsid w:val="001E32F3"/>
    <w:rsid w:val="001E3FFC"/>
    <w:rsid w:val="001E4439"/>
    <w:rsid w:val="001E4EAF"/>
    <w:rsid w:val="001E5D62"/>
    <w:rsid w:val="001E633C"/>
    <w:rsid w:val="001E6392"/>
    <w:rsid w:val="001E7342"/>
    <w:rsid w:val="001E7AB3"/>
    <w:rsid w:val="001F046E"/>
    <w:rsid w:val="001F0A8F"/>
    <w:rsid w:val="001F47B7"/>
    <w:rsid w:val="001F4BFC"/>
    <w:rsid w:val="001F4D90"/>
    <w:rsid w:val="001F6571"/>
    <w:rsid w:val="001F684F"/>
    <w:rsid w:val="002001C0"/>
    <w:rsid w:val="002002DF"/>
    <w:rsid w:val="00201258"/>
    <w:rsid w:val="00201DFE"/>
    <w:rsid w:val="0020293E"/>
    <w:rsid w:val="00202C6C"/>
    <w:rsid w:val="002030D2"/>
    <w:rsid w:val="002031C9"/>
    <w:rsid w:val="00203BE9"/>
    <w:rsid w:val="002041AE"/>
    <w:rsid w:val="002053DE"/>
    <w:rsid w:val="002054D8"/>
    <w:rsid w:val="0020591B"/>
    <w:rsid w:val="00205BC6"/>
    <w:rsid w:val="002061E6"/>
    <w:rsid w:val="002066DB"/>
    <w:rsid w:val="00206824"/>
    <w:rsid w:val="0020778C"/>
    <w:rsid w:val="00207FDA"/>
    <w:rsid w:val="002104A3"/>
    <w:rsid w:val="002119B5"/>
    <w:rsid w:val="00211C01"/>
    <w:rsid w:val="002122EA"/>
    <w:rsid w:val="00212CF0"/>
    <w:rsid w:val="002138F9"/>
    <w:rsid w:val="00214223"/>
    <w:rsid w:val="00214976"/>
    <w:rsid w:val="0021559E"/>
    <w:rsid w:val="00215636"/>
    <w:rsid w:val="00215B0E"/>
    <w:rsid w:val="00215E9C"/>
    <w:rsid w:val="00217302"/>
    <w:rsid w:val="00220587"/>
    <w:rsid w:val="00220FCA"/>
    <w:rsid w:val="00221990"/>
    <w:rsid w:val="002232B5"/>
    <w:rsid w:val="00223C8E"/>
    <w:rsid w:val="002244E7"/>
    <w:rsid w:val="002252DC"/>
    <w:rsid w:val="00225B63"/>
    <w:rsid w:val="00226545"/>
    <w:rsid w:val="00227133"/>
    <w:rsid w:val="0023070E"/>
    <w:rsid w:val="00230DEF"/>
    <w:rsid w:val="002318C9"/>
    <w:rsid w:val="002323BC"/>
    <w:rsid w:val="002345C2"/>
    <w:rsid w:val="00234917"/>
    <w:rsid w:val="00235AA6"/>
    <w:rsid w:val="0023612A"/>
    <w:rsid w:val="00236A9D"/>
    <w:rsid w:val="002405C7"/>
    <w:rsid w:val="002405C8"/>
    <w:rsid w:val="002407BD"/>
    <w:rsid w:val="00240A66"/>
    <w:rsid w:val="00241390"/>
    <w:rsid w:val="00241607"/>
    <w:rsid w:val="0024263D"/>
    <w:rsid w:val="002428AD"/>
    <w:rsid w:val="00242EFB"/>
    <w:rsid w:val="00243ABE"/>
    <w:rsid w:val="00243FBB"/>
    <w:rsid w:val="0024412B"/>
    <w:rsid w:val="00244437"/>
    <w:rsid w:val="0024619E"/>
    <w:rsid w:val="002467DF"/>
    <w:rsid w:val="00251F25"/>
    <w:rsid w:val="00252E35"/>
    <w:rsid w:val="002535CE"/>
    <w:rsid w:val="0025424B"/>
    <w:rsid w:val="002545C6"/>
    <w:rsid w:val="00254701"/>
    <w:rsid w:val="0025521A"/>
    <w:rsid w:val="00256463"/>
    <w:rsid w:val="00257946"/>
    <w:rsid w:val="00257EEF"/>
    <w:rsid w:val="002605C3"/>
    <w:rsid w:val="00261BD0"/>
    <w:rsid w:val="00262445"/>
    <w:rsid w:val="00262DFA"/>
    <w:rsid w:val="00265CF3"/>
    <w:rsid w:val="00265D57"/>
    <w:rsid w:val="0026671A"/>
    <w:rsid w:val="00267265"/>
    <w:rsid w:val="00267D17"/>
    <w:rsid w:val="00270F61"/>
    <w:rsid w:val="002716BE"/>
    <w:rsid w:val="00272B70"/>
    <w:rsid w:val="00272E5F"/>
    <w:rsid w:val="0027510B"/>
    <w:rsid w:val="00275EEB"/>
    <w:rsid w:val="00276992"/>
    <w:rsid w:val="002771D2"/>
    <w:rsid w:val="00277E3F"/>
    <w:rsid w:val="002808D0"/>
    <w:rsid w:val="002812AD"/>
    <w:rsid w:val="002817CF"/>
    <w:rsid w:val="00281952"/>
    <w:rsid w:val="00281B08"/>
    <w:rsid w:val="002832BF"/>
    <w:rsid w:val="00284608"/>
    <w:rsid w:val="0028634A"/>
    <w:rsid w:val="00286600"/>
    <w:rsid w:val="00286B68"/>
    <w:rsid w:val="00287480"/>
    <w:rsid w:val="00287BB7"/>
    <w:rsid w:val="00287D44"/>
    <w:rsid w:val="0029003E"/>
    <w:rsid w:val="002924EC"/>
    <w:rsid w:val="002926AD"/>
    <w:rsid w:val="00293635"/>
    <w:rsid w:val="00293F78"/>
    <w:rsid w:val="002942B5"/>
    <w:rsid w:val="00294961"/>
    <w:rsid w:val="00294EBC"/>
    <w:rsid w:val="00296045"/>
    <w:rsid w:val="0029609B"/>
    <w:rsid w:val="002960D1"/>
    <w:rsid w:val="0029626E"/>
    <w:rsid w:val="00296528"/>
    <w:rsid w:val="00296AAF"/>
    <w:rsid w:val="002971D7"/>
    <w:rsid w:val="002976AF"/>
    <w:rsid w:val="002A02FB"/>
    <w:rsid w:val="002A0FB0"/>
    <w:rsid w:val="002A18FF"/>
    <w:rsid w:val="002A22FB"/>
    <w:rsid w:val="002A2338"/>
    <w:rsid w:val="002A2D43"/>
    <w:rsid w:val="002A352D"/>
    <w:rsid w:val="002A4A73"/>
    <w:rsid w:val="002A4E2C"/>
    <w:rsid w:val="002A4F4B"/>
    <w:rsid w:val="002A5694"/>
    <w:rsid w:val="002A58B1"/>
    <w:rsid w:val="002A59ED"/>
    <w:rsid w:val="002A63FF"/>
    <w:rsid w:val="002A6580"/>
    <w:rsid w:val="002A6681"/>
    <w:rsid w:val="002A6DFA"/>
    <w:rsid w:val="002A7823"/>
    <w:rsid w:val="002A7DB1"/>
    <w:rsid w:val="002A7E77"/>
    <w:rsid w:val="002B0FA9"/>
    <w:rsid w:val="002B162C"/>
    <w:rsid w:val="002B1D2A"/>
    <w:rsid w:val="002B2181"/>
    <w:rsid w:val="002B23E3"/>
    <w:rsid w:val="002B2A24"/>
    <w:rsid w:val="002B2FCB"/>
    <w:rsid w:val="002B4398"/>
    <w:rsid w:val="002B43A1"/>
    <w:rsid w:val="002B500D"/>
    <w:rsid w:val="002B5185"/>
    <w:rsid w:val="002B5C0D"/>
    <w:rsid w:val="002B6440"/>
    <w:rsid w:val="002B647B"/>
    <w:rsid w:val="002B76A8"/>
    <w:rsid w:val="002B7B7A"/>
    <w:rsid w:val="002C05AE"/>
    <w:rsid w:val="002C240F"/>
    <w:rsid w:val="002C26C6"/>
    <w:rsid w:val="002C2C18"/>
    <w:rsid w:val="002C4138"/>
    <w:rsid w:val="002C46A3"/>
    <w:rsid w:val="002C48C1"/>
    <w:rsid w:val="002C5480"/>
    <w:rsid w:val="002C56AF"/>
    <w:rsid w:val="002C5867"/>
    <w:rsid w:val="002C5B66"/>
    <w:rsid w:val="002C6638"/>
    <w:rsid w:val="002C76BB"/>
    <w:rsid w:val="002C7C96"/>
    <w:rsid w:val="002C7E68"/>
    <w:rsid w:val="002D0408"/>
    <w:rsid w:val="002D0FD5"/>
    <w:rsid w:val="002D1B10"/>
    <w:rsid w:val="002D1C56"/>
    <w:rsid w:val="002D2124"/>
    <w:rsid w:val="002D2536"/>
    <w:rsid w:val="002D2687"/>
    <w:rsid w:val="002D2859"/>
    <w:rsid w:val="002D291E"/>
    <w:rsid w:val="002D2958"/>
    <w:rsid w:val="002D2B8D"/>
    <w:rsid w:val="002D3633"/>
    <w:rsid w:val="002D38F7"/>
    <w:rsid w:val="002D3F42"/>
    <w:rsid w:val="002D4813"/>
    <w:rsid w:val="002D495D"/>
    <w:rsid w:val="002D5C3D"/>
    <w:rsid w:val="002D608D"/>
    <w:rsid w:val="002D63D3"/>
    <w:rsid w:val="002E0C13"/>
    <w:rsid w:val="002E1B7F"/>
    <w:rsid w:val="002E1E5C"/>
    <w:rsid w:val="002E29DC"/>
    <w:rsid w:val="002E3C68"/>
    <w:rsid w:val="002E3D89"/>
    <w:rsid w:val="002E41BB"/>
    <w:rsid w:val="002E49A0"/>
    <w:rsid w:val="002E5CC0"/>
    <w:rsid w:val="002E6874"/>
    <w:rsid w:val="002F05E7"/>
    <w:rsid w:val="002F0628"/>
    <w:rsid w:val="002F1491"/>
    <w:rsid w:val="002F1747"/>
    <w:rsid w:val="002F28FD"/>
    <w:rsid w:val="002F3137"/>
    <w:rsid w:val="002F5689"/>
    <w:rsid w:val="002F58D2"/>
    <w:rsid w:val="002F67DD"/>
    <w:rsid w:val="002F6AB2"/>
    <w:rsid w:val="002F7708"/>
    <w:rsid w:val="002F7BA9"/>
    <w:rsid w:val="00302E3B"/>
    <w:rsid w:val="00302E9E"/>
    <w:rsid w:val="00302EEC"/>
    <w:rsid w:val="00303D2E"/>
    <w:rsid w:val="003052C1"/>
    <w:rsid w:val="003066CF"/>
    <w:rsid w:val="00306AF0"/>
    <w:rsid w:val="00306B64"/>
    <w:rsid w:val="00307759"/>
    <w:rsid w:val="00307972"/>
    <w:rsid w:val="00307BCA"/>
    <w:rsid w:val="0031031A"/>
    <w:rsid w:val="00310DED"/>
    <w:rsid w:val="003117E6"/>
    <w:rsid w:val="0031597F"/>
    <w:rsid w:val="00315B7E"/>
    <w:rsid w:val="00315BFB"/>
    <w:rsid w:val="00315C2B"/>
    <w:rsid w:val="0031644A"/>
    <w:rsid w:val="00316AC3"/>
    <w:rsid w:val="0031729A"/>
    <w:rsid w:val="00317817"/>
    <w:rsid w:val="00317D46"/>
    <w:rsid w:val="00320C29"/>
    <w:rsid w:val="00321A08"/>
    <w:rsid w:val="00321BAF"/>
    <w:rsid w:val="00321BE6"/>
    <w:rsid w:val="00322A80"/>
    <w:rsid w:val="00323AF3"/>
    <w:rsid w:val="003249F0"/>
    <w:rsid w:val="00324D70"/>
    <w:rsid w:val="0032533D"/>
    <w:rsid w:val="0032621A"/>
    <w:rsid w:val="00327B9D"/>
    <w:rsid w:val="00327E9D"/>
    <w:rsid w:val="0033011B"/>
    <w:rsid w:val="00330405"/>
    <w:rsid w:val="00331544"/>
    <w:rsid w:val="00331640"/>
    <w:rsid w:val="0033185A"/>
    <w:rsid w:val="00331EFD"/>
    <w:rsid w:val="0033248F"/>
    <w:rsid w:val="003327A7"/>
    <w:rsid w:val="003327C2"/>
    <w:rsid w:val="00333C2D"/>
    <w:rsid w:val="00333C40"/>
    <w:rsid w:val="00333CD2"/>
    <w:rsid w:val="00334C6D"/>
    <w:rsid w:val="0033616E"/>
    <w:rsid w:val="00337D41"/>
    <w:rsid w:val="00340274"/>
    <w:rsid w:val="00340E2D"/>
    <w:rsid w:val="003413E1"/>
    <w:rsid w:val="00341B89"/>
    <w:rsid w:val="00341DE9"/>
    <w:rsid w:val="00342003"/>
    <w:rsid w:val="00342E5B"/>
    <w:rsid w:val="0034302B"/>
    <w:rsid w:val="003434AF"/>
    <w:rsid w:val="00343DBA"/>
    <w:rsid w:val="003445FD"/>
    <w:rsid w:val="00344A1A"/>
    <w:rsid w:val="00344B8A"/>
    <w:rsid w:val="00345292"/>
    <w:rsid w:val="003455D1"/>
    <w:rsid w:val="0034612A"/>
    <w:rsid w:val="003464D1"/>
    <w:rsid w:val="00347450"/>
    <w:rsid w:val="00347DA6"/>
    <w:rsid w:val="00350766"/>
    <w:rsid w:val="00351007"/>
    <w:rsid w:val="003511EE"/>
    <w:rsid w:val="003518D5"/>
    <w:rsid w:val="00352069"/>
    <w:rsid w:val="00352676"/>
    <w:rsid w:val="0035293A"/>
    <w:rsid w:val="00353485"/>
    <w:rsid w:val="00353A82"/>
    <w:rsid w:val="00353B53"/>
    <w:rsid w:val="00354746"/>
    <w:rsid w:val="00355068"/>
    <w:rsid w:val="00357969"/>
    <w:rsid w:val="00357E68"/>
    <w:rsid w:val="00360EB8"/>
    <w:rsid w:val="00361FAC"/>
    <w:rsid w:val="0036213A"/>
    <w:rsid w:val="0036252D"/>
    <w:rsid w:val="00362835"/>
    <w:rsid w:val="00363284"/>
    <w:rsid w:val="00363677"/>
    <w:rsid w:val="003644D4"/>
    <w:rsid w:val="003647EC"/>
    <w:rsid w:val="0036493A"/>
    <w:rsid w:val="003653A0"/>
    <w:rsid w:val="003655F1"/>
    <w:rsid w:val="00365F2D"/>
    <w:rsid w:val="003661BD"/>
    <w:rsid w:val="003664C6"/>
    <w:rsid w:val="00366EA7"/>
    <w:rsid w:val="0037061B"/>
    <w:rsid w:val="00371B20"/>
    <w:rsid w:val="00371CDA"/>
    <w:rsid w:val="003735BE"/>
    <w:rsid w:val="00374C1D"/>
    <w:rsid w:val="00376978"/>
    <w:rsid w:val="00376B5F"/>
    <w:rsid w:val="003770A8"/>
    <w:rsid w:val="00377D6F"/>
    <w:rsid w:val="0038024F"/>
    <w:rsid w:val="003802E8"/>
    <w:rsid w:val="00380938"/>
    <w:rsid w:val="00380E95"/>
    <w:rsid w:val="00381036"/>
    <w:rsid w:val="003828A0"/>
    <w:rsid w:val="0038331C"/>
    <w:rsid w:val="003835C3"/>
    <w:rsid w:val="003837A8"/>
    <w:rsid w:val="003837B3"/>
    <w:rsid w:val="003858FF"/>
    <w:rsid w:val="00391FDF"/>
    <w:rsid w:val="00392056"/>
    <w:rsid w:val="00393280"/>
    <w:rsid w:val="0039351E"/>
    <w:rsid w:val="00393B2E"/>
    <w:rsid w:val="00395411"/>
    <w:rsid w:val="003954EE"/>
    <w:rsid w:val="00395831"/>
    <w:rsid w:val="003958C2"/>
    <w:rsid w:val="0039668A"/>
    <w:rsid w:val="003966AF"/>
    <w:rsid w:val="00397232"/>
    <w:rsid w:val="003A17E5"/>
    <w:rsid w:val="003A1FAA"/>
    <w:rsid w:val="003A2425"/>
    <w:rsid w:val="003A24BD"/>
    <w:rsid w:val="003A38D1"/>
    <w:rsid w:val="003A4198"/>
    <w:rsid w:val="003A42B3"/>
    <w:rsid w:val="003A43BC"/>
    <w:rsid w:val="003A4B72"/>
    <w:rsid w:val="003A537D"/>
    <w:rsid w:val="003A5622"/>
    <w:rsid w:val="003A5BB0"/>
    <w:rsid w:val="003A5D1D"/>
    <w:rsid w:val="003A5E41"/>
    <w:rsid w:val="003B0208"/>
    <w:rsid w:val="003B122B"/>
    <w:rsid w:val="003B14CA"/>
    <w:rsid w:val="003B1562"/>
    <w:rsid w:val="003B29F6"/>
    <w:rsid w:val="003B5DC4"/>
    <w:rsid w:val="003B73E6"/>
    <w:rsid w:val="003B76C4"/>
    <w:rsid w:val="003B7EFB"/>
    <w:rsid w:val="003C1317"/>
    <w:rsid w:val="003C1E41"/>
    <w:rsid w:val="003C2072"/>
    <w:rsid w:val="003C2668"/>
    <w:rsid w:val="003C360D"/>
    <w:rsid w:val="003C5AD7"/>
    <w:rsid w:val="003C76BC"/>
    <w:rsid w:val="003C78D8"/>
    <w:rsid w:val="003C7D65"/>
    <w:rsid w:val="003C7D89"/>
    <w:rsid w:val="003D0998"/>
    <w:rsid w:val="003D0BC1"/>
    <w:rsid w:val="003D0D8E"/>
    <w:rsid w:val="003D0E8F"/>
    <w:rsid w:val="003D2F21"/>
    <w:rsid w:val="003D313D"/>
    <w:rsid w:val="003D3CB5"/>
    <w:rsid w:val="003D720D"/>
    <w:rsid w:val="003D79C2"/>
    <w:rsid w:val="003E0291"/>
    <w:rsid w:val="003E052A"/>
    <w:rsid w:val="003E0CA6"/>
    <w:rsid w:val="003E1BDD"/>
    <w:rsid w:val="003E235E"/>
    <w:rsid w:val="003E3059"/>
    <w:rsid w:val="003E4361"/>
    <w:rsid w:val="003E5215"/>
    <w:rsid w:val="003E66EF"/>
    <w:rsid w:val="003E6C3C"/>
    <w:rsid w:val="003F0A6D"/>
    <w:rsid w:val="003F0C91"/>
    <w:rsid w:val="003F14F4"/>
    <w:rsid w:val="003F279B"/>
    <w:rsid w:val="003F29FD"/>
    <w:rsid w:val="003F2FCF"/>
    <w:rsid w:val="003F3189"/>
    <w:rsid w:val="003F4DF3"/>
    <w:rsid w:val="003F5198"/>
    <w:rsid w:val="003F589C"/>
    <w:rsid w:val="003F5E1B"/>
    <w:rsid w:val="003F5FCD"/>
    <w:rsid w:val="003F6FA0"/>
    <w:rsid w:val="003F7194"/>
    <w:rsid w:val="004003CD"/>
    <w:rsid w:val="004005B4"/>
    <w:rsid w:val="00400A23"/>
    <w:rsid w:val="00401394"/>
    <w:rsid w:val="004015FB"/>
    <w:rsid w:val="004019F6"/>
    <w:rsid w:val="00401B4F"/>
    <w:rsid w:val="004023B9"/>
    <w:rsid w:val="00403112"/>
    <w:rsid w:val="00403419"/>
    <w:rsid w:val="004035A3"/>
    <w:rsid w:val="00404048"/>
    <w:rsid w:val="004048A6"/>
    <w:rsid w:val="004053AD"/>
    <w:rsid w:val="004053C0"/>
    <w:rsid w:val="00405D9C"/>
    <w:rsid w:val="0040634E"/>
    <w:rsid w:val="00407479"/>
    <w:rsid w:val="00407C91"/>
    <w:rsid w:val="00410072"/>
    <w:rsid w:val="0041072A"/>
    <w:rsid w:val="004109B3"/>
    <w:rsid w:val="00410C88"/>
    <w:rsid w:val="00411A7A"/>
    <w:rsid w:val="00411EFE"/>
    <w:rsid w:val="004123A6"/>
    <w:rsid w:val="0041332A"/>
    <w:rsid w:val="00414817"/>
    <w:rsid w:val="00415524"/>
    <w:rsid w:val="00415E1F"/>
    <w:rsid w:val="00415FFC"/>
    <w:rsid w:val="004160C2"/>
    <w:rsid w:val="004164A7"/>
    <w:rsid w:val="00416E73"/>
    <w:rsid w:val="00417840"/>
    <w:rsid w:val="00420337"/>
    <w:rsid w:val="004211E7"/>
    <w:rsid w:val="004213A7"/>
    <w:rsid w:val="004229E2"/>
    <w:rsid w:val="00423014"/>
    <w:rsid w:val="00425413"/>
    <w:rsid w:val="004254BA"/>
    <w:rsid w:val="00426190"/>
    <w:rsid w:val="004263F3"/>
    <w:rsid w:val="00426A27"/>
    <w:rsid w:val="00427492"/>
    <w:rsid w:val="00427D3C"/>
    <w:rsid w:val="00430209"/>
    <w:rsid w:val="00430363"/>
    <w:rsid w:val="0043039E"/>
    <w:rsid w:val="004310A8"/>
    <w:rsid w:val="00431125"/>
    <w:rsid w:val="004317A5"/>
    <w:rsid w:val="004318FC"/>
    <w:rsid w:val="00431994"/>
    <w:rsid w:val="004325C6"/>
    <w:rsid w:val="00433757"/>
    <w:rsid w:val="00433AEC"/>
    <w:rsid w:val="0043464F"/>
    <w:rsid w:val="00436BD5"/>
    <w:rsid w:val="00437236"/>
    <w:rsid w:val="004408D3"/>
    <w:rsid w:val="00440C70"/>
    <w:rsid w:val="00441573"/>
    <w:rsid w:val="00441F6F"/>
    <w:rsid w:val="00442655"/>
    <w:rsid w:val="00442C5E"/>
    <w:rsid w:val="00442E5D"/>
    <w:rsid w:val="004430D5"/>
    <w:rsid w:val="00443D29"/>
    <w:rsid w:val="00443E75"/>
    <w:rsid w:val="00444815"/>
    <w:rsid w:val="00444E3C"/>
    <w:rsid w:val="0044594A"/>
    <w:rsid w:val="00446F4F"/>
    <w:rsid w:val="0044750C"/>
    <w:rsid w:val="00447A18"/>
    <w:rsid w:val="00447F07"/>
    <w:rsid w:val="004511A6"/>
    <w:rsid w:val="004523C0"/>
    <w:rsid w:val="004529CB"/>
    <w:rsid w:val="004531C3"/>
    <w:rsid w:val="00453A01"/>
    <w:rsid w:val="00453C23"/>
    <w:rsid w:val="00453C3C"/>
    <w:rsid w:val="00453C57"/>
    <w:rsid w:val="0045451C"/>
    <w:rsid w:val="00454A5D"/>
    <w:rsid w:val="004552A0"/>
    <w:rsid w:val="00455884"/>
    <w:rsid w:val="00456274"/>
    <w:rsid w:val="004562B8"/>
    <w:rsid w:val="00456ABA"/>
    <w:rsid w:val="0045752E"/>
    <w:rsid w:val="0046116A"/>
    <w:rsid w:val="004625F4"/>
    <w:rsid w:val="004631A6"/>
    <w:rsid w:val="00463370"/>
    <w:rsid w:val="004638F9"/>
    <w:rsid w:val="00463C58"/>
    <w:rsid w:val="00463F43"/>
    <w:rsid w:val="004655C1"/>
    <w:rsid w:val="00465E56"/>
    <w:rsid w:val="00466695"/>
    <w:rsid w:val="00467872"/>
    <w:rsid w:val="00467A9C"/>
    <w:rsid w:val="00467D60"/>
    <w:rsid w:val="00471D8F"/>
    <w:rsid w:val="00471FAB"/>
    <w:rsid w:val="00472037"/>
    <w:rsid w:val="00472100"/>
    <w:rsid w:val="00472F75"/>
    <w:rsid w:val="004730F9"/>
    <w:rsid w:val="00474FAD"/>
    <w:rsid w:val="00475956"/>
    <w:rsid w:val="0047595C"/>
    <w:rsid w:val="004768B8"/>
    <w:rsid w:val="00477030"/>
    <w:rsid w:val="0048041D"/>
    <w:rsid w:val="00480D94"/>
    <w:rsid w:val="004811F8"/>
    <w:rsid w:val="0048160D"/>
    <w:rsid w:val="00481703"/>
    <w:rsid w:val="004826F7"/>
    <w:rsid w:val="00482901"/>
    <w:rsid w:val="004836A9"/>
    <w:rsid w:val="0048526C"/>
    <w:rsid w:val="004857AD"/>
    <w:rsid w:val="004861A2"/>
    <w:rsid w:val="00487531"/>
    <w:rsid w:val="00487B60"/>
    <w:rsid w:val="004903A4"/>
    <w:rsid w:val="00490A31"/>
    <w:rsid w:val="00490BFC"/>
    <w:rsid w:val="00492835"/>
    <w:rsid w:val="0049401B"/>
    <w:rsid w:val="004941E4"/>
    <w:rsid w:val="0049441E"/>
    <w:rsid w:val="0049452C"/>
    <w:rsid w:val="00494D07"/>
    <w:rsid w:val="00495606"/>
    <w:rsid w:val="004957D4"/>
    <w:rsid w:val="00495905"/>
    <w:rsid w:val="00496095"/>
    <w:rsid w:val="00496D27"/>
    <w:rsid w:val="00497150"/>
    <w:rsid w:val="00497A1F"/>
    <w:rsid w:val="004A13D5"/>
    <w:rsid w:val="004A1E60"/>
    <w:rsid w:val="004A2C02"/>
    <w:rsid w:val="004A3092"/>
    <w:rsid w:val="004A3CEE"/>
    <w:rsid w:val="004A405D"/>
    <w:rsid w:val="004A4D76"/>
    <w:rsid w:val="004A6093"/>
    <w:rsid w:val="004A636D"/>
    <w:rsid w:val="004A68B5"/>
    <w:rsid w:val="004A78D4"/>
    <w:rsid w:val="004A7E3C"/>
    <w:rsid w:val="004B0613"/>
    <w:rsid w:val="004B07B6"/>
    <w:rsid w:val="004B0FEC"/>
    <w:rsid w:val="004B1044"/>
    <w:rsid w:val="004B11DD"/>
    <w:rsid w:val="004B1681"/>
    <w:rsid w:val="004B254E"/>
    <w:rsid w:val="004B30D2"/>
    <w:rsid w:val="004B3A63"/>
    <w:rsid w:val="004B3C5C"/>
    <w:rsid w:val="004B3FDC"/>
    <w:rsid w:val="004B4603"/>
    <w:rsid w:val="004B4BD0"/>
    <w:rsid w:val="004B5983"/>
    <w:rsid w:val="004B61BB"/>
    <w:rsid w:val="004B7543"/>
    <w:rsid w:val="004C0486"/>
    <w:rsid w:val="004C1062"/>
    <w:rsid w:val="004C17BA"/>
    <w:rsid w:val="004C2413"/>
    <w:rsid w:val="004C24C1"/>
    <w:rsid w:val="004C2547"/>
    <w:rsid w:val="004C3371"/>
    <w:rsid w:val="004C34DB"/>
    <w:rsid w:val="004C357D"/>
    <w:rsid w:val="004C395B"/>
    <w:rsid w:val="004C5777"/>
    <w:rsid w:val="004C5844"/>
    <w:rsid w:val="004C76E9"/>
    <w:rsid w:val="004C79A5"/>
    <w:rsid w:val="004D0B76"/>
    <w:rsid w:val="004D0F7B"/>
    <w:rsid w:val="004D1590"/>
    <w:rsid w:val="004D2073"/>
    <w:rsid w:val="004D3875"/>
    <w:rsid w:val="004D3981"/>
    <w:rsid w:val="004D525F"/>
    <w:rsid w:val="004D5E10"/>
    <w:rsid w:val="004D68F4"/>
    <w:rsid w:val="004D78DD"/>
    <w:rsid w:val="004D7D0D"/>
    <w:rsid w:val="004E031F"/>
    <w:rsid w:val="004E0574"/>
    <w:rsid w:val="004E0852"/>
    <w:rsid w:val="004E1611"/>
    <w:rsid w:val="004E2903"/>
    <w:rsid w:val="004E329D"/>
    <w:rsid w:val="004E439B"/>
    <w:rsid w:val="004E4A37"/>
    <w:rsid w:val="004E5BE1"/>
    <w:rsid w:val="004E67A6"/>
    <w:rsid w:val="004E67F9"/>
    <w:rsid w:val="004E75BA"/>
    <w:rsid w:val="004F0583"/>
    <w:rsid w:val="004F09A4"/>
    <w:rsid w:val="004F16F0"/>
    <w:rsid w:val="004F4205"/>
    <w:rsid w:val="004F4485"/>
    <w:rsid w:val="004F46C1"/>
    <w:rsid w:val="004F4819"/>
    <w:rsid w:val="004F5792"/>
    <w:rsid w:val="004F5808"/>
    <w:rsid w:val="004F6B46"/>
    <w:rsid w:val="004F7676"/>
    <w:rsid w:val="004F7FE4"/>
    <w:rsid w:val="005007A8"/>
    <w:rsid w:val="00501151"/>
    <w:rsid w:val="0050204D"/>
    <w:rsid w:val="00502465"/>
    <w:rsid w:val="00504B61"/>
    <w:rsid w:val="00505351"/>
    <w:rsid w:val="00506487"/>
    <w:rsid w:val="00507378"/>
    <w:rsid w:val="00507704"/>
    <w:rsid w:val="005101A5"/>
    <w:rsid w:val="005105DC"/>
    <w:rsid w:val="00511CE0"/>
    <w:rsid w:val="005136FD"/>
    <w:rsid w:val="0051419B"/>
    <w:rsid w:val="005146CF"/>
    <w:rsid w:val="0051478E"/>
    <w:rsid w:val="0051574F"/>
    <w:rsid w:val="00515BF0"/>
    <w:rsid w:val="00515DC7"/>
    <w:rsid w:val="00516067"/>
    <w:rsid w:val="00516632"/>
    <w:rsid w:val="00516A47"/>
    <w:rsid w:val="00516B60"/>
    <w:rsid w:val="00516E66"/>
    <w:rsid w:val="005203C3"/>
    <w:rsid w:val="00521027"/>
    <w:rsid w:val="005226A4"/>
    <w:rsid w:val="0052399A"/>
    <w:rsid w:val="00523AFE"/>
    <w:rsid w:val="00524A94"/>
    <w:rsid w:val="00525986"/>
    <w:rsid w:val="00526290"/>
    <w:rsid w:val="005265A6"/>
    <w:rsid w:val="005266D7"/>
    <w:rsid w:val="00527061"/>
    <w:rsid w:val="00527226"/>
    <w:rsid w:val="005272DD"/>
    <w:rsid w:val="00527C89"/>
    <w:rsid w:val="005300CA"/>
    <w:rsid w:val="00530451"/>
    <w:rsid w:val="005309F6"/>
    <w:rsid w:val="00530FD7"/>
    <w:rsid w:val="00531BCB"/>
    <w:rsid w:val="00533262"/>
    <w:rsid w:val="00533D70"/>
    <w:rsid w:val="005340F1"/>
    <w:rsid w:val="00535391"/>
    <w:rsid w:val="00535A39"/>
    <w:rsid w:val="00536063"/>
    <w:rsid w:val="0053670F"/>
    <w:rsid w:val="00536811"/>
    <w:rsid w:val="005374E9"/>
    <w:rsid w:val="005378A7"/>
    <w:rsid w:val="00537EB9"/>
    <w:rsid w:val="0054050F"/>
    <w:rsid w:val="00540A7E"/>
    <w:rsid w:val="005415E6"/>
    <w:rsid w:val="00544597"/>
    <w:rsid w:val="00544716"/>
    <w:rsid w:val="0054488D"/>
    <w:rsid w:val="00544907"/>
    <w:rsid w:val="00544C6D"/>
    <w:rsid w:val="00544FC1"/>
    <w:rsid w:val="0054563B"/>
    <w:rsid w:val="0054576C"/>
    <w:rsid w:val="00545868"/>
    <w:rsid w:val="00545F4E"/>
    <w:rsid w:val="005465CA"/>
    <w:rsid w:val="00547579"/>
    <w:rsid w:val="00547D3F"/>
    <w:rsid w:val="0055074B"/>
    <w:rsid w:val="005513C7"/>
    <w:rsid w:val="00553381"/>
    <w:rsid w:val="00554048"/>
    <w:rsid w:val="0055531D"/>
    <w:rsid w:val="005567FD"/>
    <w:rsid w:val="005569CC"/>
    <w:rsid w:val="00557669"/>
    <w:rsid w:val="00560982"/>
    <w:rsid w:val="00560D5C"/>
    <w:rsid w:val="00560E97"/>
    <w:rsid w:val="00560F92"/>
    <w:rsid w:val="00561B5A"/>
    <w:rsid w:val="00561D9B"/>
    <w:rsid w:val="00561E17"/>
    <w:rsid w:val="00562455"/>
    <w:rsid w:val="0056407A"/>
    <w:rsid w:val="00564515"/>
    <w:rsid w:val="00565643"/>
    <w:rsid w:val="0056588C"/>
    <w:rsid w:val="005660EC"/>
    <w:rsid w:val="005663DE"/>
    <w:rsid w:val="0056763F"/>
    <w:rsid w:val="00567CF5"/>
    <w:rsid w:val="0057323A"/>
    <w:rsid w:val="0057360E"/>
    <w:rsid w:val="0057624B"/>
    <w:rsid w:val="0057688F"/>
    <w:rsid w:val="005768D9"/>
    <w:rsid w:val="00577B05"/>
    <w:rsid w:val="005809A3"/>
    <w:rsid w:val="00580D5E"/>
    <w:rsid w:val="005817B3"/>
    <w:rsid w:val="0058243A"/>
    <w:rsid w:val="005824C3"/>
    <w:rsid w:val="00582A90"/>
    <w:rsid w:val="005842AD"/>
    <w:rsid w:val="00584A4F"/>
    <w:rsid w:val="00584EC3"/>
    <w:rsid w:val="00585058"/>
    <w:rsid w:val="0058581F"/>
    <w:rsid w:val="005869B6"/>
    <w:rsid w:val="00587798"/>
    <w:rsid w:val="00592210"/>
    <w:rsid w:val="00592DE7"/>
    <w:rsid w:val="00592E82"/>
    <w:rsid w:val="00594117"/>
    <w:rsid w:val="005951A7"/>
    <w:rsid w:val="00595380"/>
    <w:rsid w:val="00597ABE"/>
    <w:rsid w:val="005A008C"/>
    <w:rsid w:val="005A00DA"/>
    <w:rsid w:val="005A0706"/>
    <w:rsid w:val="005A0A7D"/>
    <w:rsid w:val="005A17D1"/>
    <w:rsid w:val="005A2142"/>
    <w:rsid w:val="005A225E"/>
    <w:rsid w:val="005A2341"/>
    <w:rsid w:val="005A264C"/>
    <w:rsid w:val="005A2D57"/>
    <w:rsid w:val="005A3F23"/>
    <w:rsid w:val="005A62C7"/>
    <w:rsid w:val="005A63C1"/>
    <w:rsid w:val="005A683D"/>
    <w:rsid w:val="005A69B4"/>
    <w:rsid w:val="005A7798"/>
    <w:rsid w:val="005A7822"/>
    <w:rsid w:val="005B0449"/>
    <w:rsid w:val="005B0681"/>
    <w:rsid w:val="005B0B57"/>
    <w:rsid w:val="005B107B"/>
    <w:rsid w:val="005B21A4"/>
    <w:rsid w:val="005B42F9"/>
    <w:rsid w:val="005B4DE5"/>
    <w:rsid w:val="005B4ECF"/>
    <w:rsid w:val="005B5540"/>
    <w:rsid w:val="005B6441"/>
    <w:rsid w:val="005C140F"/>
    <w:rsid w:val="005C1D9E"/>
    <w:rsid w:val="005C1E24"/>
    <w:rsid w:val="005C299F"/>
    <w:rsid w:val="005C2AC4"/>
    <w:rsid w:val="005C31B4"/>
    <w:rsid w:val="005C3A00"/>
    <w:rsid w:val="005C4464"/>
    <w:rsid w:val="005C49A2"/>
    <w:rsid w:val="005C62E7"/>
    <w:rsid w:val="005C67C5"/>
    <w:rsid w:val="005C69C4"/>
    <w:rsid w:val="005C6C66"/>
    <w:rsid w:val="005C7847"/>
    <w:rsid w:val="005D14EF"/>
    <w:rsid w:val="005D2B65"/>
    <w:rsid w:val="005D35D6"/>
    <w:rsid w:val="005D44B4"/>
    <w:rsid w:val="005D49E6"/>
    <w:rsid w:val="005D4FBF"/>
    <w:rsid w:val="005D648D"/>
    <w:rsid w:val="005D7475"/>
    <w:rsid w:val="005D762E"/>
    <w:rsid w:val="005D7923"/>
    <w:rsid w:val="005E2C87"/>
    <w:rsid w:val="005E2DE3"/>
    <w:rsid w:val="005E3B04"/>
    <w:rsid w:val="005E4274"/>
    <w:rsid w:val="005E52E8"/>
    <w:rsid w:val="005E7CD5"/>
    <w:rsid w:val="005F0C9E"/>
    <w:rsid w:val="005F29B6"/>
    <w:rsid w:val="005F2A6F"/>
    <w:rsid w:val="005F2E5A"/>
    <w:rsid w:val="005F3423"/>
    <w:rsid w:val="005F38E7"/>
    <w:rsid w:val="005F3C63"/>
    <w:rsid w:val="005F4AAF"/>
    <w:rsid w:val="005F51DF"/>
    <w:rsid w:val="005F6110"/>
    <w:rsid w:val="005F67AB"/>
    <w:rsid w:val="00600C16"/>
    <w:rsid w:val="00600CFB"/>
    <w:rsid w:val="00601178"/>
    <w:rsid w:val="006030A6"/>
    <w:rsid w:val="006055B5"/>
    <w:rsid w:val="00605B01"/>
    <w:rsid w:val="00606433"/>
    <w:rsid w:val="00606E4C"/>
    <w:rsid w:val="0061083A"/>
    <w:rsid w:val="0061097C"/>
    <w:rsid w:val="00610E85"/>
    <w:rsid w:val="0061185F"/>
    <w:rsid w:val="00611E15"/>
    <w:rsid w:val="00612275"/>
    <w:rsid w:val="0061251E"/>
    <w:rsid w:val="00612996"/>
    <w:rsid w:val="006135A0"/>
    <w:rsid w:val="00613FA2"/>
    <w:rsid w:val="006149F6"/>
    <w:rsid w:val="00614CB8"/>
    <w:rsid w:val="00615319"/>
    <w:rsid w:val="00615938"/>
    <w:rsid w:val="00615D7D"/>
    <w:rsid w:val="0061690F"/>
    <w:rsid w:val="00616C64"/>
    <w:rsid w:val="00617EE2"/>
    <w:rsid w:val="006208BD"/>
    <w:rsid w:val="00621280"/>
    <w:rsid w:val="006232D1"/>
    <w:rsid w:val="006234CA"/>
    <w:rsid w:val="00623825"/>
    <w:rsid w:val="00623E28"/>
    <w:rsid w:val="006245F3"/>
    <w:rsid w:val="00625042"/>
    <w:rsid w:val="0062596F"/>
    <w:rsid w:val="00625B8A"/>
    <w:rsid w:val="006269CE"/>
    <w:rsid w:val="00626E75"/>
    <w:rsid w:val="00626EE7"/>
    <w:rsid w:val="00627DBB"/>
    <w:rsid w:val="006302C3"/>
    <w:rsid w:val="006309DD"/>
    <w:rsid w:val="00630BD0"/>
    <w:rsid w:val="0063212B"/>
    <w:rsid w:val="00632534"/>
    <w:rsid w:val="00632643"/>
    <w:rsid w:val="00632D50"/>
    <w:rsid w:val="00632E21"/>
    <w:rsid w:val="006339AA"/>
    <w:rsid w:val="00633A64"/>
    <w:rsid w:val="00634111"/>
    <w:rsid w:val="0063442A"/>
    <w:rsid w:val="0063463C"/>
    <w:rsid w:val="006362AC"/>
    <w:rsid w:val="00636895"/>
    <w:rsid w:val="00636B4A"/>
    <w:rsid w:val="00637B2F"/>
    <w:rsid w:val="00637D1E"/>
    <w:rsid w:val="00640013"/>
    <w:rsid w:val="00640111"/>
    <w:rsid w:val="006403C6"/>
    <w:rsid w:val="00640DCE"/>
    <w:rsid w:val="00640F03"/>
    <w:rsid w:val="00641588"/>
    <w:rsid w:val="006417E4"/>
    <w:rsid w:val="00642262"/>
    <w:rsid w:val="00642C28"/>
    <w:rsid w:val="00642DA8"/>
    <w:rsid w:val="006432AA"/>
    <w:rsid w:val="00643CE3"/>
    <w:rsid w:val="00644CF2"/>
    <w:rsid w:val="00645409"/>
    <w:rsid w:val="00645A57"/>
    <w:rsid w:val="00645B0B"/>
    <w:rsid w:val="00646123"/>
    <w:rsid w:val="0064772D"/>
    <w:rsid w:val="0065000C"/>
    <w:rsid w:val="00650401"/>
    <w:rsid w:val="0065084D"/>
    <w:rsid w:val="00650ED4"/>
    <w:rsid w:val="0065159C"/>
    <w:rsid w:val="006531C6"/>
    <w:rsid w:val="00653C9C"/>
    <w:rsid w:val="00654142"/>
    <w:rsid w:val="00654E32"/>
    <w:rsid w:val="006552C6"/>
    <w:rsid w:val="00655E5A"/>
    <w:rsid w:val="00656473"/>
    <w:rsid w:val="00656EBA"/>
    <w:rsid w:val="00660A80"/>
    <w:rsid w:val="006614CA"/>
    <w:rsid w:val="0066268C"/>
    <w:rsid w:val="006636C3"/>
    <w:rsid w:val="00663923"/>
    <w:rsid w:val="00664184"/>
    <w:rsid w:val="00664DD3"/>
    <w:rsid w:val="0066597A"/>
    <w:rsid w:val="00665D7E"/>
    <w:rsid w:val="0066631D"/>
    <w:rsid w:val="00666435"/>
    <w:rsid w:val="006667F5"/>
    <w:rsid w:val="0066775D"/>
    <w:rsid w:val="00667BA1"/>
    <w:rsid w:val="00670DFB"/>
    <w:rsid w:val="006719B1"/>
    <w:rsid w:val="00671FF3"/>
    <w:rsid w:val="00672284"/>
    <w:rsid w:val="006722AF"/>
    <w:rsid w:val="00672A6C"/>
    <w:rsid w:val="0067345B"/>
    <w:rsid w:val="00673838"/>
    <w:rsid w:val="0067383A"/>
    <w:rsid w:val="00674627"/>
    <w:rsid w:val="00674692"/>
    <w:rsid w:val="00674A66"/>
    <w:rsid w:val="00674A93"/>
    <w:rsid w:val="00676190"/>
    <w:rsid w:val="0067627E"/>
    <w:rsid w:val="0068108A"/>
    <w:rsid w:val="00681EAF"/>
    <w:rsid w:val="00683220"/>
    <w:rsid w:val="00684A1D"/>
    <w:rsid w:val="00684F4B"/>
    <w:rsid w:val="00687968"/>
    <w:rsid w:val="0069131B"/>
    <w:rsid w:val="0069156A"/>
    <w:rsid w:val="006916FB"/>
    <w:rsid w:val="00693A97"/>
    <w:rsid w:val="00693AB3"/>
    <w:rsid w:val="00695120"/>
    <w:rsid w:val="006954C3"/>
    <w:rsid w:val="00695FD0"/>
    <w:rsid w:val="0069601A"/>
    <w:rsid w:val="00696395"/>
    <w:rsid w:val="00697268"/>
    <w:rsid w:val="006972AF"/>
    <w:rsid w:val="006A0572"/>
    <w:rsid w:val="006A1BC2"/>
    <w:rsid w:val="006A1DB7"/>
    <w:rsid w:val="006A2AE6"/>
    <w:rsid w:val="006A30A3"/>
    <w:rsid w:val="006A3273"/>
    <w:rsid w:val="006A4222"/>
    <w:rsid w:val="006A4934"/>
    <w:rsid w:val="006A4BDF"/>
    <w:rsid w:val="006A554B"/>
    <w:rsid w:val="006A562F"/>
    <w:rsid w:val="006B04E7"/>
    <w:rsid w:val="006B07B1"/>
    <w:rsid w:val="006B0D89"/>
    <w:rsid w:val="006B1391"/>
    <w:rsid w:val="006B2020"/>
    <w:rsid w:val="006B21FB"/>
    <w:rsid w:val="006B31E9"/>
    <w:rsid w:val="006B3727"/>
    <w:rsid w:val="006B4262"/>
    <w:rsid w:val="006B4B85"/>
    <w:rsid w:val="006B5960"/>
    <w:rsid w:val="006B5F37"/>
    <w:rsid w:val="006B5F92"/>
    <w:rsid w:val="006B6357"/>
    <w:rsid w:val="006B6F76"/>
    <w:rsid w:val="006B7480"/>
    <w:rsid w:val="006B7AB2"/>
    <w:rsid w:val="006C1BA0"/>
    <w:rsid w:val="006C1FE0"/>
    <w:rsid w:val="006C240C"/>
    <w:rsid w:val="006C2791"/>
    <w:rsid w:val="006C3A02"/>
    <w:rsid w:val="006C4019"/>
    <w:rsid w:val="006C4363"/>
    <w:rsid w:val="006C4759"/>
    <w:rsid w:val="006C483B"/>
    <w:rsid w:val="006C4AA5"/>
    <w:rsid w:val="006C4F7A"/>
    <w:rsid w:val="006C5157"/>
    <w:rsid w:val="006C5862"/>
    <w:rsid w:val="006C5935"/>
    <w:rsid w:val="006C5A93"/>
    <w:rsid w:val="006C70E7"/>
    <w:rsid w:val="006C742F"/>
    <w:rsid w:val="006C74D8"/>
    <w:rsid w:val="006D0473"/>
    <w:rsid w:val="006D0657"/>
    <w:rsid w:val="006D1645"/>
    <w:rsid w:val="006D17AF"/>
    <w:rsid w:val="006D1F17"/>
    <w:rsid w:val="006D216B"/>
    <w:rsid w:val="006D221D"/>
    <w:rsid w:val="006D23A3"/>
    <w:rsid w:val="006D2BAB"/>
    <w:rsid w:val="006D33D7"/>
    <w:rsid w:val="006D42B4"/>
    <w:rsid w:val="006D45C3"/>
    <w:rsid w:val="006D59C4"/>
    <w:rsid w:val="006D69DD"/>
    <w:rsid w:val="006D6BD3"/>
    <w:rsid w:val="006D6C5A"/>
    <w:rsid w:val="006D6E47"/>
    <w:rsid w:val="006D7469"/>
    <w:rsid w:val="006E090D"/>
    <w:rsid w:val="006E27C3"/>
    <w:rsid w:val="006E2BDA"/>
    <w:rsid w:val="006E3453"/>
    <w:rsid w:val="006E36FB"/>
    <w:rsid w:val="006E514A"/>
    <w:rsid w:val="006E5244"/>
    <w:rsid w:val="006E55C0"/>
    <w:rsid w:val="006E5C00"/>
    <w:rsid w:val="006F150D"/>
    <w:rsid w:val="006F256F"/>
    <w:rsid w:val="006F3A82"/>
    <w:rsid w:val="006F410C"/>
    <w:rsid w:val="006F684B"/>
    <w:rsid w:val="006F69BD"/>
    <w:rsid w:val="006F75D3"/>
    <w:rsid w:val="006F7738"/>
    <w:rsid w:val="00700E6B"/>
    <w:rsid w:val="0070160E"/>
    <w:rsid w:val="00702704"/>
    <w:rsid w:val="00702A49"/>
    <w:rsid w:val="00703F9C"/>
    <w:rsid w:val="007042E5"/>
    <w:rsid w:val="007048D7"/>
    <w:rsid w:val="007049D0"/>
    <w:rsid w:val="00704C3B"/>
    <w:rsid w:val="00704FD2"/>
    <w:rsid w:val="00705153"/>
    <w:rsid w:val="00705E30"/>
    <w:rsid w:val="00706939"/>
    <w:rsid w:val="00706986"/>
    <w:rsid w:val="00707B64"/>
    <w:rsid w:val="00707E1A"/>
    <w:rsid w:val="00710CEC"/>
    <w:rsid w:val="007116E3"/>
    <w:rsid w:val="0071187A"/>
    <w:rsid w:val="00711960"/>
    <w:rsid w:val="00712952"/>
    <w:rsid w:val="007134A4"/>
    <w:rsid w:val="007139E7"/>
    <w:rsid w:val="00714DD3"/>
    <w:rsid w:val="00714FFF"/>
    <w:rsid w:val="007155E3"/>
    <w:rsid w:val="00715633"/>
    <w:rsid w:val="007158D5"/>
    <w:rsid w:val="00715CF0"/>
    <w:rsid w:val="00717FC0"/>
    <w:rsid w:val="00720CB2"/>
    <w:rsid w:val="00720EA7"/>
    <w:rsid w:val="007214CC"/>
    <w:rsid w:val="0072215E"/>
    <w:rsid w:val="00722AE7"/>
    <w:rsid w:val="00723798"/>
    <w:rsid w:val="00723C37"/>
    <w:rsid w:val="007255A8"/>
    <w:rsid w:val="00726EC7"/>
    <w:rsid w:val="00730446"/>
    <w:rsid w:val="00730968"/>
    <w:rsid w:val="00730FDC"/>
    <w:rsid w:val="00731855"/>
    <w:rsid w:val="00731D9A"/>
    <w:rsid w:val="00731DA2"/>
    <w:rsid w:val="00731DB8"/>
    <w:rsid w:val="00731E64"/>
    <w:rsid w:val="007320D8"/>
    <w:rsid w:val="00732344"/>
    <w:rsid w:val="0073339C"/>
    <w:rsid w:val="00733DE6"/>
    <w:rsid w:val="00735AB1"/>
    <w:rsid w:val="00735B02"/>
    <w:rsid w:val="007360AE"/>
    <w:rsid w:val="00736656"/>
    <w:rsid w:val="00737FB7"/>
    <w:rsid w:val="0074008D"/>
    <w:rsid w:val="00740460"/>
    <w:rsid w:val="007406BE"/>
    <w:rsid w:val="0074156E"/>
    <w:rsid w:val="00742925"/>
    <w:rsid w:val="00742C70"/>
    <w:rsid w:val="00742CFC"/>
    <w:rsid w:val="00743E68"/>
    <w:rsid w:val="00744932"/>
    <w:rsid w:val="00745D43"/>
    <w:rsid w:val="0074602A"/>
    <w:rsid w:val="0074651B"/>
    <w:rsid w:val="0074651D"/>
    <w:rsid w:val="0074687E"/>
    <w:rsid w:val="0074780A"/>
    <w:rsid w:val="00747C16"/>
    <w:rsid w:val="00750D0E"/>
    <w:rsid w:val="007517D4"/>
    <w:rsid w:val="007518FF"/>
    <w:rsid w:val="00752AD4"/>
    <w:rsid w:val="007547FF"/>
    <w:rsid w:val="00754F1C"/>
    <w:rsid w:val="007559D4"/>
    <w:rsid w:val="00755B15"/>
    <w:rsid w:val="00756379"/>
    <w:rsid w:val="007564F6"/>
    <w:rsid w:val="007573BC"/>
    <w:rsid w:val="00757C26"/>
    <w:rsid w:val="0076007E"/>
    <w:rsid w:val="00760F88"/>
    <w:rsid w:val="007618E6"/>
    <w:rsid w:val="00762637"/>
    <w:rsid w:val="0076269E"/>
    <w:rsid w:val="00763834"/>
    <w:rsid w:val="007638CF"/>
    <w:rsid w:val="00763C9E"/>
    <w:rsid w:val="00765975"/>
    <w:rsid w:val="00765AA8"/>
    <w:rsid w:val="00765DF6"/>
    <w:rsid w:val="007663F6"/>
    <w:rsid w:val="00766B6E"/>
    <w:rsid w:val="00767170"/>
    <w:rsid w:val="00767AC1"/>
    <w:rsid w:val="00771BF3"/>
    <w:rsid w:val="00771D38"/>
    <w:rsid w:val="007724B1"/>
    <w:rsid w:val="0077343A"/>
    <w:rsid w:val="0077364F"/>
    <w:rsid w:val="00775B2A"/>
    <w:rsid w:val="00776199"/>
    <w:rsid w:val="0077707D"/>
    <w:rsid w:val="00777C4F"/>
    <w:rsid w:val="00781435"/>
    <w:rsid w:val="00781690"/>
    <w:rsid w:val="00781F99"/>
    <w:rsid w:val="00783031"/>
    <w:rsid w:val="00783394"/>
    <w:rsid w:val="00785109"/>
    <w:rsid w:val="00785D62"/>
    <w:rsid w:val="007868A0"/>
    <w:rsid w:val="0079009F"/>
    <w:rsid w:val="0079366D"/>
    <w:rsid w:val="00794EED"/>
    <w:rsid w:val="007953B9"/>
    <w:rsid w:val="007957F8"/>
    <w:rsid w:val="00795AC2"/>
    <w:rsid w:val="00795BB1"/>
    <w:rsid w:val="007972CA"/>
    <w:rsid w:val="007979C3"/>
    <w:rsid w:val="00797E3B"/>
    <w:rsid w:val="007A0403"/>
    <w:rsid w:val="007A0FB5"/>
    <w:rsid w:val="007A12B8"/>
    <w:rsid w:val="007A1B35"/>
    <w:rsid w:val="007A1EDC"/>
    <w:rsid w:val="007A264F"/>
    <w:rsid w:val="007A3432"/>
    <w:rsid w:val="007A44BE"/>
    <w:rsid w:val="007A58C2"/>
    <w:rsid w:val="007A5951"/>
    <w:rsid w:val="007A5D24"/>
    <w:rsid w:val="007A6087"/>
    <w:rsid w:val="007A60DA"/>
    <w:rsid w:val="007A6164"/>
    <w:rsid w:val="007A7055"/>
    <w:rsid w:val="007A79FB"/>
    <w:rsid w:val="007A7A57"/>
    <w:rsid w:val="007B0128"/>
    <w:rsid w:val="007B015B"/>
    <w:rsid w:val="007B067A"/>
    <w:rsid w:val="007B19F9"/>
    <w:rsid w:val="007B247C"/>
    <w:rsid w:val="007B26C8"/>
    <w:rsid w:val="007B34D2"/>
    <w:rsid w:val="007B3C77"/>
    <w:rsid w:val="007B3FA1"/>
    <w:rsid w:val="007B3FAE"/>
    <w:rsid w:val="007B48B8"/>
    <w:rsid w:val="007B5BE8"/>
    <w:rsid w:val="007B7876"/>
    <w:rsid w:val="007C02A1"/>
    <w:rsid w:val="007C1E70"/>
    <w:rsid w:val="007C3F2C"/>
    <w:rsid w:val="007C40FC"/>
    <w:rsid w:val="007C4A6D"/>
    <w:rsid w:val="007C4AA2"/>
    <w:rsid w:val="007C4BD1"/>
    <w:rsid w:val="007C567D"/>
    <w:rsid w:val="007C5825"/>
    <w:rsid w:val="007C649A"/>
    <w:rsid w:val="007C75B3"/>
    <w:rsid w:val="007C7CBC"/>
    <w:rsid w:val="007C7F53"/>
    <w:rsid w:val="007D0BE2"/>
    <w:rsid w:val="007D1C52"/>
    <w:rsid w:val="007D1D92"/>
    <w:rsid w:val="007D274A"/>
    <w:rsid w:val="007D3A05"/>
    <w:rsid w:val="007D3C97"/>
    <w:rsid w:val="007D3DC5"/>
    <w:rsid w:val="007D41DF"/>
    <w:rsid w:val="007D4DEB"/>
    <w:rsid w:val="007D5E8D"/>
    <w:rsid w:val="007E04B0"/>
    <w:rsid w:val="007E057A"/>
    <w:rsid w:val="007E05A1"/>
    <w:rsid w:val="007E0E7E"/>
    <w:rsid w:val="007E1137"/>
    <w:rsid w:val="007E19E5"/>
    <w:rsid w:val="007E20EE"/>
    <w:rsid w:val="007E248D"/>
    <w:rsid w:val="007E27DC"/>
    <w:rsid w:val="007E2D89"/>
    <w:rsid w:val="007E363C"/>
    <w:rsid w:val="007E371E"/>
    <w:rsid w:val="007E4BD1"/>
    <w:rsid w:val="007E668F"/>
    <w:rsid w:val="007E6B9F"/>
    <w:rsid w:val="007E771B"/>
    <w:rsid w:val="007E775D"/>
    <w:rsid w:val="007F0FE6"/>
    <w:rsid w:val="007F2048"/>
    <w:rsid w:val="007F2CA9"/>
    <w:rsid w:val="007F3569"/>
    <w:rsid w:val="007F3C0E"/>
    <w:rsid w:val="007F4371"/>
    <w:rsid w:val="007F5B0A"/>
    <w:rsid w:val="007F6C12"/>
    <w:rsid w:val="007F6DDC"/>
    <w:rsid w:val="007F704F"/>
    <w:rsid w:val="007F7EDB"/>
    <w:rsid w:val="008005EE"/>
    <w:rsid w:val="00800676"/>
    <w:rsid w:val="00801421"/>
    <w:rsid w:val="008017E4"/>
    <w:rsid w:val="00802087"/>
    <w:rsid w:val="008032DA"/>
    <w:rsid w:val="00803380"/>
    <w:rsid w:val="00803F84"/>
    <w:rsid w:val="008041DB"/>
    <w:rsid w:val="0080443A"/>
    <w:rsid w:val="008046D4"/>
    <w:rsid w:val="008063ED"/>
    <w:rsid w:val="0080653F"/>
    <w:rsid w:val="00806822"/>
    <w:rsid w:val="00806B6C"/>
    <w:rsid w:val="008071BE"/>
    <w:rsid w:val="0081052B"/>
    <w:rsid w:val="00810C32"/>
    <w:rsid w:val="008112CB"/>
    <w:rsid w:val="00811E7A"/>
    <w:rsid w:val="00813680"/>
    <w:rsid w:val="008139CD"/>
    <w:rsid w:val="008140C2"/>
    <w:rsid w:val="008142E8"/>
    <w:rsid w:val="00814F1B"/>
    <w:rsid w:val="00815324"/>
    <w:rsid w:val="00815517"/>
    <w:rsid w:val="008162A9"/>
    <w:rsid w:val="00816C20"/>
    <w:rsid w:val="00816F6C"/>
    <w:rsid w:val="00817764"/>
    <w:rsid w:val="008179B8"/>
    <w:rsid w:val="0082021B"/>
    <w:rsid w:val="00823F1D"/>
    <w:rsid w:val="0082438A"/>
    <w:rsid w:val="00824959"/>
    <w:rsid w:val="00824DBB"/>
    <w:rsid w:val="00825E60"/>
    <w:rsid w:val="00826629"/>
    <w:rsid w:val="008266A2"/>
    <w:rsid w:val="00826EDA"/>
    <w:rsid w:val="00826FDA"/>
    <w:rsid w:val="008279A1"/>
    <w:rsid w:val="00830204"/>
    <w:rsid w:val="00830340"/>
    <w:rsid w:val="008304C0"/>
    <w:rsid w:val="00830DFF"/>
    <w:rsid w:val="008310F8"/>
    <w:rsid w:val="00831AA9"/>
    <w:rsid w:val="00831AFC"/>
    <w:rsid w:val="008329EF"/>
    <w:rsid w:val="00832CFD"/>
    <w:rsid w:val="008344E7"/>
    <w:rsid w:val="00834A30"/>
    <w:rsid w:val="0083509A"/>
    <w:rsid w:val="0083623D"/>
    <w:rsid w:val="0083624E"/>
    <w:rsid w:val="008369EA"/>
    <w:rsid w:val="00837A1F"/>
    <w:rsid w:val="008410AD"/>
    <w:rsid w:val="00842111"/>
    <w:rsid w:val="00843141"/>
    <w:rsid w:val="00843D7D"/>
    <w:rsid w:val="00844044"/>
    <w:rsid w:val="00845211"/>
    <w:rsid w:val="0084558C"/>
    <w:rsid w:val="008463B8"/>
    <w:rsid w:val="00846604"/>
    <w:rsid w:val="00846BA9"/>
    <w:rsid w:val="0084754D"/>
    <w:rsid w:val="00850355"/>
    <w:rsid w:val="008507F1"/>
    <w:rsid w:val="00850BB4"/>
    <w:rsid w:val="0085100D"/>
    <w:rsid w:val="0085113F"/>
    <w:rsid w:val="008518B4"/>
    <w:rsid w:val="008519D6"/>
    <w:rsid w:val="00851FEF"/>
    <w:rsid w:val="008520D8"/>
    <w:rsid w:val="008532EB"/>
    <w:rsid w:val="0085504A"/>
    <w:rsid w:val="0085578E"/>
    <w:rsid w:val="00855A1C"/>
    <w:rsid w:val="00856049"/>
    <w:rsid w:val="00857DEA"/>
    <w:rsid w:val="0086018F"/>
    <w:rsid w:val="008616ED"/>
    <w:rsid w:val="00861E52"/>
    <w:rsid w:val="00862231"/>
    <w:rsid w:val="008629C5"/>
    <w:rsid w:val="00863840"/>
    <w:rsid w:val="0086439F"/>
    <w:rsid w:val="008650C8"/>
    <w:rsid w:val="0086727B"/>
    <w:rsid w:val="008672C9"/>
    <w:rsid w:val="008674D3"/>
    <w:rsid w:val="008709F0"/>
    <w:rsid w:val="00871080"/>
    <w:rsid w:val="00871468"/>
    <w:rsid w:val="0087304F"/>
    <w:rsid w:val="008730E4"/>
    <w:rsid w:val="00873947"/>
    <w:rsid w:val="00874243"/>
    <w:rsid w:val="008744E9"/>
    <w:rsid w:val="00874D64"/>
    <w:rsid w:val="0087551F"/>
    <w:rsid w:val="0087590D"/>
    <w:rsid w:val="00876086"/>
    <w:rsid w:val="00877A67"/>
    <w:rsid w:val="008812FE"/>
    <w:rsid w:val="00881444"/>
    <w:rsid w:val="00881906"/>
    <w:rsid w:val="00882C87"/>
    <w:rsid w:val="008845F1"/>
    <w:rsid w:val="00885CD1"/>
    <w:rsid w:val="00886C58"/>
    <w:rsid w:val="0088798C"/>
    <w:rsid w:val="00890591"/>
    <w:rsid w:val="00891AF0"/>
    <w:rsid w:val="00893EBE"/>
    <w:rsid w:val="008942C5"/>
    <w:rsid w:val="00895124"/>
    <w:rsid w:val="0089580C"/>
    <w:rsid w:val="0089708A"/>
    <w:rsid w:val="008979EB"/>
    <w:rsid w:val="008A01B2"/>
    <w:rsid w:val="008A0F39"/>
    <w:rsid w:val="008A13CF"/>
    <w:rsid w:val="008A1ADA"/>
    <w:rsid w:val="008A1F3B"/>
    <w:rsid w:val="008A221A"/>
    <w:rsid w:val="008A2E21"/>
    <w:rsid w:val="008A34B2"/>
    <w:rsid w:val="008A53C6"/>
    <w:rsid w:val="008A5719"/>
    <w:rsid w:val="008A5753"/>
    <w:rsid w:val="008A698E"/>
    <w:rsid w:val="008A6DDA"/>
    <w:rsid w:val="008B0147"/>
    <w:rsid w:val="008B044A"/>
    <w:rsid w:val="008B0B22"/>
    <w:rsid w:val="008B1FE0"/>
    <w:rsid w:val="008B2042"/>
    <w:rsid w:val="008B2562"/>
    <w:rsid w:val="008B3289"/>
    <w:rsid w:val="008B3C5E"/>
    <w:rsid w:val="008B440E"/>
    <w:rsid w:val="008B555F"/>
    <w:rsid w:val="008B5A36"/>
    <w:rsid w:val="008B60C1"/>
    <w:rsid w:val="008B6358"/>
    <w:rsid w:val="008B6DD7"/>
    <w:rsid w:val="008B73BF"/>
    <w:rsid w:val="008B73E3"/>
    <w:rsid w:val="008B74B4"/>
    <w:rsid w:val="008C02CE"/>
    <w:rsid w:val="008C09C5"/>
    <w:rsid w:val="008C16C6"/>
    <w:rsid w:val="008C1A2B"/>
    <w:rsid w:val="008C2246"/>
    <w:rsid w:val="008C2669"/>
    <w:rsid w:val="008C2FEA"/>
    <w:rsid w:val="008C3FEA"/>
    <w:rsid w:val="008C47D5"/>
    <w:rsid w:val="008C549A"/>
    <w:rsid w:val="008C5C85"/>
    <w:rsid w:val="008C715B"/>
    <w:rsid w:val="008C7814"/>
    <w:rsid w:val="008D03C8"/>
    <w:rsid w:val="008D084B"/>
    <w:rsid w:val="008D0C6C"/>
    <w:rsid w:val="008D0EC9"/>
    <w:rsid w:val="008D2B65"/>
    <w:rsid w:val="008D2EAF"/>
    <w:rsid w:val="008D331F"/>
    <w:rsid w:val="008D4C6B"/>
    <w:rsid w:val="008D51E0"/>
    <w:rsid w:val="008D54D4"/>
    <w:rsid w:val="008D5F94"/>
    <w:rsid w:val="008D68AA"/>
    <w:rsid w:val="008D694D"/>
    <w:rsid w:val="008D6AA4"/>
    <w:rsid w:val="008D7A16"/>
    <w:rsid w:val="008E0D50"/>
    <w:rsid w:val="008E2A00"/>
    <w:rsid w:val="008E2D38"/>
    <w:rsid w:val="008E36F7"/>
    <w:rsid w:val="008E4229"/>
    <w:rsid w:val="008E47FA"/>
    <w:rsid w:val="008E4B25"/>
    <w:rsid w:val="008E5AF7"/>
    <w:rsid w:val="008E5B13"/>
    <w:rsid w:val="008E5B3D"/>
    <w:rsid w:val="008E6549"/>
    <w:rsid w:val="008F1508"/>
    <w:rsid w:val="008F1603"/>
    <w:rsid w:val="008F35F1"/>
    <w:rsid w:val="008F3A68"/>
    <w:rsid w:val="008F4792"/>
    <w:rsid w:val="008F4909"/>
    <w:rsid w:val="008F4989"/>
    <w:rsid w:val="008F63AE"/>
    <w:rsid w:val="008F6925"/>
    <w:rsid w:val="008F6C86"/>
    <w:rsid w:val="008F7FBB"/>
    <w:rsid w:val="00900AB9"/>
    <w:rsid w:val="00901AF3"/>
    <w:rsid w:val="00902E08"/>
    <w:rsid w:val="00902EBF"/>
    <w:rsid w:val="0090331F"/>
    <w:rsid w:val="00903851"/>
    <w:rsid w:val="00904B25"/>
    <w:rsid w:val="009052C4"/>
    <w:rsid w:val="00905E7F"/>
    <w:rsid w:val="0090600C"/>
    <w:rsid w:val="00906BAA"/>
    <w:rsid w:val="009100DB"/>
    <w:rsid w:val="0091071C"/>
    <w:rsid w:val="00911B37"/>
    <w:rsid w:val="00911C3F"/>
    <w:rsid w:val="009121BE"/>
    <w:rsid w:val="00912662"/>
    <w:rsid w:val="00913321"/>
    <w:rsid w:val="00913822"/>
    <w:rsid w:val="009139A8"/>
    <w:rsid w:val="00914558"/>
    <w:rsid w:val="00914FEB"/>
    <w:rsid w:val="009155AF"/>
    <w:rsid w:val="00915FE6"/>
    <w:rsid w:val="00916DED"/>
    <w:rsid w:val="0092152D"/>
    <w:rsid w:val="009215BD"/>
    <w:rsid w:val="00921E8F"/>
    <w:rsid w:val="0092302C"/>
    <w:rsid w:val="0092323F"/>
    <w:rsid w:val="00924EBD"/>
    <w:rsid w:val="00927443"/>
    <w:rsid w:val="00927B1C"/>
    <w:rsid w:val="00927B65"/>
    <w:rsid w:val="009304EE"/>
    <w:rsid w:val="009306A8"/>
    <w:rsid w:val="00930B86"/>
    <w:rsid w:val="00930FAC"/>
    <w:rsid w:val="00931034"/>
    <w:rsid w:val="0093156D"/>
    <w:rsid w:val="0093218E"/>
    <w:rsid w:val="00932A23"/>
    <w:rsid w:val="00933182"/>
    <w:rsid w:val="00933238"/>
    <w:rsid w:val="0093396B"/>
    <w:rsid w:val="009339BF"/>
    <w:rsid w:val="0093457E"/>
    <w:rsid w:val="00934E0F"/>
    <w:rsid w:val="00935F4B"/>
    <w:rsid w:val="00937058"/>
    <w:rsid w:val="00940C40"/>
    <w:rsid w:val="00940DEB"/>
    <w:rsid w:val="00942D61"/>
    <w:rsid w:val="009431C5"/>
    <w:rsid w:val="00943347"/>
    <w:rsid w:val="009438DA"/>
    <w:rsid w:val="00944842"/>
    <w:rsid w:val="009453F6"/>
    <w:rsid w:val="0094670D"/>
    <w:rsid w:val="00947893"/>
    <w:rsid w:val="00951188"/>
    <w:rsid w:val="00951940"/>
    <w:rsid w:val="0095254C"/>
    <w:rsid w:val="00952DF0"/>
    <w:rsid w:val="00953EE8"/>
    <w:rsid w:val="00954634"/>
    <w:rsid w:val="00954935"/>
    <w:rsid w:val="0095687F"/>
    <w:rsid w:val="00956BDD"/>
    <w:rsid w:val="009613DA"/>
    <w:rsid w:val="009641FC"/>
    <w:rsid w:val="009645AE"/>
    <w:rsid w:val="0096559C"/>
    <w:rsid w:val="00965833"/>
    <w:rsid w:val="009666A8"/>
    <w:rsid w:val="00966DA5"/>
    <w:rsid w:val="00967580"/>
    <w:rsid w:val="00967BE0"/>
    <w:rsid w:val="00967EA3"/>
    <w:rsid w:val="009739AC"/>
    <w:rsid w:val="00973C70"/>
    <w:rsid w:val="00974068"/>
    <w:rsid w:val="0097459B"/>
    <w:rsid w:val="0097489C"/>
    <w:rsid w:val="00976862"/>
    <w:rsid w:val="00977620"/>
    <w:rsid w:val="00977759"/>
    <w:rsid w:val="00977E07"/>
    <w:rsid w:val="00980E47"/>
    <w:rsid w:val="00981336"/>
    <w:rsid w:val="00982898"/>
    <w:rsid w:val="00982EAB"/>
    <w:rsid w:val="009847F7"/>
    <w:rsid w:val="00985FF9"/>
    <w:rsid w:val="00986273"/>
    <w:rsid w:val="00986312"/>
    <w:rsid w:val="009869BE"/>
    <w:rsid w:val="00987785"/>
    <w:rsid w:val="00987869"/>
    <w:rsid w:val="009904C5"/>
    <w:rsid w:val="0099057D"/>
    <w:rsid w:val="00990F82"/>
    <w:rsid w:val="00991300"/>
    <w:rsid w:val="00991680"/>
    <w:rsid w:val="009919EC"/>
    <w:rsid w:val="00991D3E"/>
    <w:rsid w:val="009926CF"/>
    <w:rsid w:val="00992B1B"/>
    <w:rsid w:val="009934DC"/>
    <w:rsid w:val="00993C4A"/>
    <w:rsid w:val="00993EB0"/>
    <w:rsid w:val="009954F1"/>
    <w:rsid w:val="00995AF0"/>
    <w:rsid w:val="00996082"/>
    <w:rsid w:val="009A0CA7"/>
    <w:rsid w:val="009A1079"/>
    <w:rsid w:val="009A169B"/>
    <w:rsid w:val="009A1FAD"/>
    <w:rsid w:val="009A316E"/>
    <w:rsid w:val="009A46AF"/>
    <w:rsid w:val="009A4851"/>
    <w:rsid w:val="009A4D83"/>
    <w:rsid w:val="009A562A"/>
    <w:rsid w:val="009A5876"/>
    <w:rsid w:val="009A6A9E"/>
    <w:rsid w:val="009A71C3"/>
    <w:rsid w:val="009A7841"/>
    <w:rsid w:val="009A7DA3"/>
    <w:rsid w:val="009B05AF"/>
    <w:rsid w:val="009B19C0"/>
    <w:rsid w:val="009B27E9"/>
    <w:rsid w:val="009B2816"/>
    <w:rsid w:val="009B36AD"/>
    <w:rsid w:val="009B5082"/>
    <w:rsid w:val="009B5333"/>
    <w:rsid w:val="009B5AF6"/>
    <w:rsid w:val="009B5BDD"/>
    <w:rsid w:val="009B6B11"/>
    <w:rsid w:val="009B6C91"/>
    <w:rsid w:val="009B717E"/>
    <w:rsid w:val="009C0165"/>
    <w:rsid w:val="009C14AD"/>
    <w:rsid w:val="009C1592"/>
    <w:rsid w:val="009C1885"/>
    <w:rsid w:val="009C19DA"/>
    <w:rsid w:val="009C1DDB"/>
    <w:rsid w:val="009C275F"/>
    <w:rsid w:val="009C2923"/>
    <w:rsid w:val="009C2969"/>
    <w:rsid w:val="009C2FE5"/>
    <w:rsid w:val="009C36F9"/>
    <w:rsid w:val="009C455E"/>
    <w:rsid w:val="009C63BE"/>
    <w:rsid w:val="009C64FC"/>
    <w:rsid w:val="009C66F0"/>
    <w:rsid w:val="009C6C00"/>
    <w:rsid w:val="009C7CF2"/>
    <w:rsid w:val="009D04A1"/>
    <w:rsid w:val="009D05EB"/>
    <w:rsid w:val="009D0CF0"/>
    <w:rsid w:val="009D165A"/>
    <w:rsid w:val="009D3256"/>
    <w:rsid w:val="009D37D9"/>
    <w:rsid w:val="009D3DBB"/>
    <w:rsid w:val="009D42AE"/>
    <w:rsid w:val="009D43DF"/>
    <w:rsid w:val="009D4A66"/>
    <w:rsid w:val="009D4B6E"/>
    <w:rsid w:val="009D530C"/>
    <w:rsid w:val="009D5B6C"/>
    <w:rsid w:val="009D6B00"/>
    <w:rsid w:val="009D7234"/>
    <w:rsid w:val="009D77FD"/>
    <w:rsid w:val="009D7B5E"/>
    <w:rsid w:val="009E1617"/>
    <w:rsid w:val="009E1FB6"/>
    <w:rsid w:val="009E224E"/>
    <w:rsid w:val="009E243A"/>
    <w:rsid w:val="009E3178"/>
    <w:rsid w:val="009E3927"/>
    <w:rsid w:val="009E41B5"/>
    <w:rsid w:val="009E5530"/>
    <w:rsid w:val="009E5A3D"/>
    <w:rsid w:val="009E62B9"/>
    <w:rsid w:val="009E6C04"/>
    <w:rsid w:val="009E6F58"/>
    <w:rsid w:val="009E788B"/>
    <w:rsid w:val="009E7EB4"/>
    <w:rsid w:val="009F03DB"/>
    <w:rsid w:val="009F08AC"/>
    <w:rsid w:val="009F13E2"/>
    <w:rsid w:val="009F1908"/>
    <w:rsid w:val="009F2424"/>
    <w:rsid w:val="009F4EA6"/>
    <w:rsid w:val="009F5719"/>
    <w:rsid w:val="009F5D00"/>
    <w:rsid w:val="009F617A"/>
    <w:rsid w:val="009F6316"/>
    <w:rsid w:val="009F74EC"/>
    <w:rsid w:val="00A00A81"/>
    <w:rsid w:val="00A0259A"/>
    <w:rsid w:val="00A03029"/>
    <w:rsid w:val="00A0309E"/>
    <w:rsid w:val="00A04619"/>
    <w:rsid w:val="00A0489F"/>
    <w:rsid w:val="00A0509B"/>
    <w:rsid w:val="00A07815"/>
    <w:rsid w:val="00A0787E"/>
    <w:rsid w:val="00A10073"/>
    <w:rsid w:val="00A10AA7"/>
    <w:rsid w:val="00A10DCB"/>
    <w:rsid w:val="00A113C0"/>
    <w:rsid w:val="00A121B2"/>
    <w:rsid w:val="00A12442"/>
    <w:rsid w:val="00A14064"/>
    <w:rsid w:val="00A1575D"/>
    <w:rsid w:val="00A157D4"/>
    <w:rsid w:val="00A17996"/>
    <w:rsid w:val="00A205D5"/>
    <w:rsid w:val="00A243FF"/>
    <w:rsid w:val="00A24787"/>
    <w:rsid w:val="00A24A46"/>
    <w:rsid w:val="00A250F0"/>
    <w:rsid w:val="00A2527A"/>
    <w:rsid w:val="00A271BA"/>
    <w:rsid w:val="00A27C19"/>
    <w:rsid w:val="00A27FD3"/>
    <w:rsid w:val="00A301C8"/>
    <w:rsid w:val="00A31384"/>
    <w:rsid w:val="00A3256E"/>
    <w:rsid w:val="00A33C1E"/>
    <w:rsid w:val="00A33DBF"/>
    <w:rsid w:val="00A34311"/>
    <w:rsid w:val="00A3437C"/>
    <w:rsid w:val="00A35538"/>
    <w:rsid w:val="00A35566"/>
    <w:rsid w:val="00A35827"/>
    <w:rsid w:val="00A36AEF"/>
    <w:rsid w:val="00A37FB2"/>
    <w:rsid w:val="00A409A0"/>
    <w:rsid w:val="00A41E9C"/>
    <w:rsid w:val="00A41ED6"/>
    <w:rsid w:val="00A41EF3"/>
    <w:rsid w:val="00A42E9B"/>
    <w:rsid w:val="00A4315B"/>
    <w:rsid w:val="00A4320A"/>
    <w:rsid w:val="00A4361A"/>
    <w:rsid w:val="00A43C03"/>
    <w:rsid w:val="00A4413B"/>
    <w:rsid w:val="00A448EC"/>
    <w:rsid w:val="00A46421"/>
    <w:rsid w:val="00A46706"/>
    <w:rsid w:val="00A46AE0"/>
    <w:rsid w:val="00A46E63"/>
    <w:rsid w:val="00A475D9"/>
    <w:rsid w:val="00A478E1"/>
    <w:rsid w:val="00A47A13"/>
    <w:rsid w:val="00A47B36"/>
    <w:rsid w:val="00A513C6"/>
    <w:rsid w:val="00A51D8F"/>
    <w:rsid w:val="00A51E8D"/>
    <w:rsid w:val="00A5257B"/>
    <w:rsid w:val="00A52FAE"/>
    <w:rsid w:val="00A537A7"/>
    <w:rsid w:val="00A5416C"/>
    <w:rsid w:val="00A55DAA"/>
    <w:rsid w:val="00A56B62"/>
    <w:rsid w:val="00A56FDB"/>
    <w:rsid w:val="00A577E6"/>
    <w:rsid w:val="00A57AD8"/>
    <w:rsid w:val="00A57BC6"/>
    <w:rsid w:val="00A6125A"/>
    <w:rsid w:val="00A61B78"/>
    <w:rsid w:val="00A623ED"/>
    <w:rsid w:val="00A63B06"/>
    <w:rsid w:val="00A65253"/>
    <w:rsid w:val="00A6631D"/>
    <w:rsid w:val="00A667A6"/>
    <w:rsid w:val="00A67CF2"/>
    <w:rsid w:val="00A7068B"/>
    <w:rsid w:val="00A71040"/>
    <w:rsid w:val="00A71296"/>
    <w:rsid w:val="00A717F0"/>
    <w:rsid w:val="00A72654"/>
    <w:rsid w:val="00A75CC3"/>
    <w:rsid w:val="00A75D53"/>
    <w:rsid w:val="00A764EC"/>
    <w:rsid w:val="00A7686C"/>
    <w:rsid w:val="00A76C8B"/>
    <w:rsid w:val="00A77ED2"/>
    <w:rsid w:val="00A8051D"/>
    <w:rsid w:val="00A80971"/>
    <w:rsid w:val="00A821D9"/>
    <w:rsid w:val="00A8346A"/>
    <w:rsid w:val="00A835B3"/>
    <w:rsid w:val="00A841ED"/>
    <w:rsid w:val="00A8442B"/>
    <w:rsid w:val="00A84A4C"/>
    <w:rsid w:val="00A84A52"/>
    <w:rsid w:val="00A85094"/>
    <w:rsid w:val="00A85A7F"/>
    <w:rsid w:val="00A86555"/>
    <w:rsid w:val="00A86FF4"/>
    <w:rsid w:val="00A87352"/>
    <w:rsid w:val="00A87DCE"/>
    <w:rsid w:val="00A90359"/>
    <w:rsid w:val="00A90A7B"/>
    <w:rsid w:val="00A90DAA"/>
    <w:rsid w:val="00A91B08"/>
    <w:rsid w:val="00A91D4B"/>
    <w:rsid w:val="00A92DF3"/>
    <w:rsid w:val="00A93234"/>
    <w:rsid w:val="00A933DF"/>
    <w:rsid w:val="00A93773"/>
    <w:rsid w:val="00A94055"/>
    <w:rsid w:val="00A94A84"/>
    <w:rsid w:val="00A962FE"/>
    <w:rsid w:val="00A96434"/>
    <w:rsid w:val="00A96545"/>
    <w:rsid w:val="00A97878"/>
    <w:rsid w:val="00AA072B"/>
    <w:rsid w:val="00AA16FD"/>
    <w:rsid w:val="00AA25A1"/>
    <w:rsid w:val="00AA2AA9"/>
    <w:rsid w:val="00AA3FE2"/>
    <w:rsid w:val="00AA4103"/>
    <w:rsid w:val="00AA413D"/>
    <w:rsid w:val="00AA56D0"/>
    <w:rsid w:val="00AA593C"/>
    <w:rsid w:val="00AA664E"/>
    <w:rsid w:val="00AA6735"/>
    <w:rsid w:val="00AA68B7"/>
    <w:rsid w:val="00AA7625"/>
    <w:rsid w:val="00AB0922"/>
    <w:rsid w:val="00AB1110"/>
    <w:rsid w:val="00AB1967"/>
    <w:rsid w:val="00AB1A21"/>
    <w:rsid w:val="00AB25F4"/>
    <w:rsid w:val="00AB3129"/>
    <w:rsid w:val="00AB40F8"/>
    <w:rsid w:val="00AB441C"/>
    <w:rsid w:val="00AB46D0"/>
    <w:rsid w:val="00AB4AE2"/>
    <w:rsid w:val="00AB53A9"/>
    <w:rsid w:val="00AB547F"/>
    <w:rsid w:val="00AB5B17"/>
    <w:rsid w:val="00AB635B"/>
    <w:rsid w:val="00AB7CAB"/>
    <w:rsid w:val="00AC0074"/>
    <w:rsid w:val="00AC31BD"/>
    <w:rsid w:val="00AC3F39"/>
    <w:rsid w:val="00AC6EA8"/>
    <w:rsid w:val="00AC7215"/>
    <w:rsid w:val="00AD023C"/>
    <w:rsid w:val="00AD1093"/>
    <w:rsid w:val="00AD25D4"/>
    <w:rsid w:val="00AD2FDA"/>
    <w:rsid w:val="00AD35B9"/>
    <w:rsid w:val="00AD4117"/>
    <w:rsid w:val="00AD4E6E"/>
    <w:rsid w:val="00AD5782"/>
    <w:rsid w:val="00AD5C2F"/>
    <w:rsid w:val="00AD75B6"/>
    <w:rsid w:val="00AD77F0"/>
    <w:rsid w:val="00AD7BC7"/>
    <w:rsid w:val="00AE006C"/>
    <w:rsid w:val="00AE1380"/>
    <w:rsid w:val="00AE1DE1"/>
    <w:rsid w:val="00AE2997"/>
    <w:rsid w:val="00AE3339"/>
    <w:rsid w:val="00AE33D8"/>
    <w:rsid w:val="00AE47A3"/>
    <w:rsid w:val="00AE58C6"/>
    <w:rsid w:val="00AE5F9E"/>
    <w:rsid w:val="00AE6A8E"/>
    <w:rsid w:val="00AE6CB2"/>
    <w:rsid w:val="00AF064A"/>
    <w:rsid w:val="00AF0B1B"/>
    <w:rsid w:val="00AF13FE"/>
    <w:rsid w:val="00AF1D63"/>
    <w:rsid w:val="00AF29D0"/>
    <w:rsid w:val="00AF2B69"/>
    <w:rsid w:val="00AF2F24"/>
    <w:rsid w:val="00AF327C"/>
    <w:rsid w:val="00AF3505"/>
    <w:rsid w:val="00AF665F"/>
    <w:rsid w:val="00AF70C3"/>
    <w:rsid w:val="00AF72E0"/>
    <w:rsid w:val="00B01A58"/>
    <w:rsid w:val="00B035C0"/>
    <w:rsid w:val="00B03B5B"/>
    <w:rsid w:val="00B03ECB"/>
    <w:rsid w:val="00B040A0"/>
    <w:rsid w:val="00B04370"/>
    <w:rsid w:val="00B043BF"/>
    <w:rsid w:val="00B04F8E"/>
    <w:rsid w:val="00B04FC7"/>
    <w:rsid w:val="00B0695D"/>
    <w:rsid w:val="00B07398"/>
    <w:rsid w:val="00B10410"/>
    <w:rsid w:val="00B10C6B"/>
    <w:rsid w:val="00B1102C"/>
    <w:rsid w:val="00B1285C"/>
    <w:rsid w:val="00B128A9"/>
    <w:rsid w:val="00B12E4D"/>
    <w:rsid w:val="00B12F5C"/>
    <w:rsid w:val="00B13940"/>
    <w:rsid w:val="00B13F30"/>
    <w:rsid w:val="00B15401"/>
    <w:rsid w:val="00B1643C"/>
    <w:rsid w:val="00B16685"/>
    <w:rsid w:val="00B168C9"/>
    <w:rsid w:val="00B17422"/>
    <w:rsid w:val="00B179C7"/>
    <w:rsid w:val="00B17B65"/>
    <w:rsid w:val="00B20114"/>
    <w:rsid w:val="00B20407"/>
    <w:rsid w:val="00B2159D"/>
    <w:rsid w:val="00B22A50"/>
    <w:rsid w:val="00B2378F"/>
    <w:rsid w:val="00B24546"/>
    <w:rsid w:val="00B26396"/>
    <w:rsid w:val="00B26805"/>
    <w:rsid w:val="00B27906"/>
    <w:rsid w:val="00B30C07"/>
    <w:rsid w:val="00B30F56"/>
    <w:rsid w:val="00B32D8D"/>
    <w:rsid w:val="00B33D32"/>
    <w:rsid w:val="00B347F1"/>
    <w:rsid w:val="00B35581"/>
    <w:rsid w:val="00B35AE1"/>
    <w:rsid w:val="00B36186"/>
    <w:rsid w:val="00B36E47"/>
    <w:rsid w:val="00B37891"/>
    <w:rsid w:val="00B40193"/>
    <w:rsid w:val="00B4077F"/>
    <w:rsid w:val="00B415F8"/>
    <w:rsid w:val="00B4163F"/>
    <w:rsid w:val="00B41A75"/>
    <w:rsid w:val="00B41A79"/>
    <w:rsid w:val="00B41D74"/>
    <w:rsid w:val="00B42E6B"/>
    <w:rsid w:val="00B432B4"/>
    <w:rsid w:val="00B43556"/>
    <w:rsid w:val="00B448BE"/>
    <w:rsid w:val="00B44939"/>
    <w:rsid w:val="00B44AF2"/>
    <w:rsid w:val="00B452A0"/>
    <w:rsid w:val="00B46937"/>
    <w:rsid w:val="00B46B70"/>
    <w:rsid w:val="00B4702C"/>
    <w:rsid w:val="00B504D8"/>
    <w:rsid w:val="00B509B3"/>
    <w:rsid w:val="00B50D37"/>
    <w:rsid w:val="00B51314"/>
    <w:rsid w:val="00B51401"/>
    <w:rsid w:val="00B51E56"/>
    <w:rsid w:val="00B537EE"/>
    <w:rsid w:val="00B53A4B"/>
    <w:rsid w:val="00B53AAD"/>
    <w:rsid w:val="00B53D85"/>
    <w:rsid w:val="00B54086"/>
    <w:rsid w:val="00B550C8"/>
    <w:rsid w:val="00B568D1"/>
    <w:rsid w:val="00B57546"/>
    <w:rsid w:val="00B57CCE"/>
    <w:rsid w:val="00B6097D"/>
    <w:rsid w:val="00B60BE8"/>
    <w:rsid w:val="00B6103F"/>
    <w:rsid w:val="00B61929"/>
    <w:rsid w:val="00B62156"/>
    <w:rsid w:val="00B63A9D"/>
    <w:rsid w:val="00B63B12"/>
    <w:rsid w:val="00B63C3B"/>
    <w:rsid w:val="00B63E96"/>
    <w:rsid w:val="00B6627B"/>
    <w:rsid w:val="00B664C7"/>
    <w:rsid w:val="00B664D7"/>
    <w:rsid w:val="00B66D47"/>
    <w:rsid w:val="00B67A1D"/>
    <w:rsid w:val="00B67A9A"/>
    <w:rsid w:val="00B67B9B"/>
    <w:rsid w:val="00B7079D"/>
    <w:rsid w:val="00B72F60"/>
    <w:rsid w:val="00B739BB"/>
    <w:rsid w:val="00B75041"/>
    <w:rsid w:val="00B75487"/>
    <w:rsid w:val="00B75637"/>
    <w:rsid w:val="00B759F4"/>
    <w:rsid w:val="00B76653"/>
    <w:rsid w:val="00B774A4"/>
    <w:rsid w:val="00B774E8"/>
    <w:rsid w:val="00B805C7"/>
    <w:rsid w:val="00B81176"/>
    <w:rsid w:val="00B81FE8"/>
    <w:rsid w:val="00B83526"/>
    <w:rsid w:val="00B8352D"/>
    <w:rsid w:val="00B83A48"/>
    <w:rsid w:val="00B84B58"/>
    <w:rsid w:val="00B85753"/>
    <w:rsid w:val="00B85C27"/>
    <w:rsid w:val="00B86AA0"/>
    <w:rsid w:val="00B86D1A"/>
    <w:rsid w:val="00B8E9FD"/>
    <w:rsid w:val="00B92790"/>
    <w:rsid w:val="00B92CFD"/>
    <w:rsid w:val="00B93162"/>
    <w:rsid w:val="00B934A7"/>
    <w:rsid w:val="00B942A1"/>
    <w:rsid w:val="00B949C7"/>
    <w:rsid w:val="00B95752"/>
    <w:rsid w:val="00B958B3"/>
    <w:rsid w:val="00B96083"/>
    <w:rsid w:val="00B96215"/>
    <w:rsid w:val="00B96285"/>
    <w:rsid w:val="00B96A8F"/>
    <w:rsid w:val="00B96F4B"/>
    <w:rsid w:val="00B970B1"/>
    <w:rsid w:val="00B972A0"/>
    <w:rsid w:val="00BA02F4"/>
    <w:rsid w:val="00BA0A5B"/>
    <w:rsid w:val="00BA17B4"/>
    <w:rsid w:val="00BA1F69"/>
    <w:rsid w:val="00BA20FA"/>
    <w:rsid w:val="00BA2ABC"/>
    <w:rsid w:val="00BA43B2"/>
    <w:rsid w:val="00BA4647"/>
    <w:rsid w:val="00BA4C6B"/>
    <w:rsid w:val="00BA5A5C"/>
    <w:rsid w:val="00BA6481"/>
    <w:rsid w:val="00BA6DB9"/>
    <w:rsid w:val="00BA6FD9"/>
    <w:rsid w:val="00BA74A4"/>
    <w:rsid w:val="00BA7E08"/>
    <w:rsid w:val="00BB0475"/>
    <w:rsid w:val="00BB0C63"/>
    <w:rsid w:val="00BB109F"/>
    <w:rsid w:val="00BB18B6"/>
    <w:rsid w:val="00BB4164"/>
    <w:rsid w:val="00BB4654"/>
    <w:rsid w:val="00BB47A6"/>
    <w:rsid w:val="00BB5497"/>
    <w:rsid w:val="00BB5846"/>
    <w:rsid w:val="00BB5C8C"/>
    <w:rsid w:val="00BB5E64"/>
    <w:rsid w:val="00BB5FF2"/>
    <w:rsid w:val="00BB7A56"/>
    <w:rsid w:val="00BC1A21"/>
    <w:rsid w:val="00BC1F1E"/>
    <w:rsid w:val="00BC2404"/>
    <w:rsid w:val="00BC3FD9"/>
    <w:rsid w:val="00BC4E7C"/>
    <w:rsid w:val="00BC4F0B"/>
    <w:rsid w:val="00BC55BF"/>
    <w:rsid w:val="00BC58EE"/>
    <w:rsid w:val="00BC6370"/>
    <w:rsid w:val="00BC68F6"/>
    <w:rsid w:val="00BC6E65"/>
    <w:rsid w:val="00BD085C"/>
    <w:rsid w:val="00BD0C4D"/>
    <w:rsid w:val="00BD279D"/>
    <w:rsid w:val="00BD34AD"/>
    <w:rsid w:val="00BD4107"/>
    <w:rsid w:val="00BD4E27"/>
    <w:rsid w:val="00BD57BF"/>
    <w:rsid w:val="00BD57D4"/>
    <w:rsid w:val="00BD5981"/>
    <w:rsid w:val="00BD6217"/>
    <w:rsid w:val="00BD683B"/>
    <w:rsid w:val="00BD75EC"/>
    <w:rsid w:val="00BE0009"/>
    <w:rsid w:val="00BE0960"/>
    <w:rsid w:val="00BE1220"/>
    <w:rsid w:val="00BE15B5"/>
    <w:rsid w:val="00BE454D"/>
    <w:rsid w:val="00BE5259"/>
    <w:rsid w:val="00BE6039"/>
    <w:rsid w:val="00BE68F6"/>
    <w:rsid w:val="00BE6A32"/>
    <w:rsid w:val="00BE6F87"/>
    <w:rsid w:val="00BE70D4"/>
    <w:rsid w:val="00BE71A0"/>
    <w:rsid w:val="00BE7D56"/>
    <w:rsid w:val="00BF0891"/>
    <w:rsid w:val="00BF12B9"/>
    <w:rsid w:val="00BF1591"/>
    <w:rsid w:val="00BF4618"/>
    <w:rsid w:val="00BF47DD"/>
    <w:rsid w:val="00BF4E4E"/>
    <w:rsid w:val="00BF50CC"/>
    <w:rsid w:val="00BF53F8"/>
    <w:rsid w:val="00BF54DB"/>
    <w:rsid w:val="00BF6873"/>
    <w:rsid w:val="00C00AED"/>
    <w:rsid w:val="00C02080"/>
    <w:rsid w:val="00C02D0A"/>
    <w:rsid w:val="00C03250"/>
    <w:rsid w:val="00C049BE"/>
    <w:rsid w:val="00C04D81"/>
    <w:rsid w:val="00C062BC"/>
    <w:rsid w:val="00C076CA"/>
    <w:rsid w:val="00C07EF5"/>
    <w:rsid w:val="00C10493"/>
    <w:rsid w:val="00C1272C"/>
    <w:rsid w:val="00C14188"/>
    <w:rsid w:val="00C14621"/>
    <w:rsid w:val="00C1472E"/>
    <w:rsid w:val="00C14B4B"/>
    <w:rsid w:val="00C14C7B"/>
    <w:rsid w:val="00C15F84"/>
    <w:rsid w:val="00C20381"/>
    <w:rsid w:val="00C211A1"/>
    <w:rsid w:val="00C21D2C"/>
    <w:rsid w:val="00C21E95"/>
    <w:rsid w:val="00C226A6"/>
    <w:rsid w:val="00C22DDE"/>
    <w:rsid w:val="00C235A9"/>
    <w:rsid w:val="00C23891"/>
    <w:rsid w:val="00C2420D"/>
    <w:rsid w:val="00C2474A"/>
    <w:rsid w:val="00C247C8"/>
    <w:rsid w:val="00C26441"/>
    <w:rsid w:val="00C27832"/>
    <w:rsid w:val="00C31AB6"/>
    <w:rsid w:val="00C32CBB"/>
    <w:rsid w:val="00C33CF3"/>
    <w:rsid w:val="00C35DAB"/>
    <w:rsid w:val="00C374BD"/>
    <w:rsid w:val="00C40077"/>
    <w:rsid w:val="00C4025E"/>
    <w:rsid w:val="00C40AB6"/>
    <w:rsid w:val="00C40BCA"/>
    <w:rsid w:val="00C40BE4"/>
    <w:rsid w:val="00C41739"/>
    <w:rsid w:val="00C424B7"/>
    <w:rsid w:val="00C425B2"/>
    <w:rsid w:val="00C42C68"/>
    <w:rsid w:val="00C45E0F"/>
    <w:rsid w:val="00C469D2"/>
    <w:rsid w:val="00C47869"/>
    <w:rsid w:val="00C52737"/>
    <w:rsid w:val="00C5314E"/>
    <w:rsid w:val="00C5371B"/>
    <w:rsid w:val="00C5393E"/>
    <w:rsid w:val="00C54F98"/>
    <w:rsid w:val="00C5574E"/>
    <w:rsid w:val="00C55B08"/>
    <w:rsid w:val="00C55F64"/>
    <w:rsid w:val="00C56371"/>
    <w:rsid w:val="00C56588"/>
    <w:rsid w:val="00C568A4"/>
    <w:rsid w:val="00C56919"/>
    <w:rsid w:val="00C56ACD"/>
    <w:rsid w:val="00C6086C"/>
    <w:rsid w:val="00C60B34"/>
    <w:rsid w:val="00C60FED"/>
    <w:rsid w:val="00C61AA3"/>
    <w:rsid w:val="00C632C1"/>
    <w:rsid w:val="00C637D0"/>
    <w:rsid w:val="00C64831"/>
    <w:rsid w:val="00C65C49"/>
    <w:rsid w:val="00C65D5E"/>
    <w:rsid w:val="00C65F6D"/>
    <w:rsid w:val="00C66F25"/>
    <w:rsid w:val="00C67D6C"/>
    <w:rsid w:val="00C711D2"/>
    <w:rsid w:val="00C7178A"/>
    <w:rsid w:val="00C722ED"/>
    <w:rsid w:val="00C72B29"/>
    <w:rsid w:val="00C72C56"/>
    <w:rsid w:val="00C72D1B"/>
    <w:rsid w:val="00C7417F"/>
    <w:rsid w:val="00C74E7D"/>
    <w:rsid w:val="00C75593"/>
    <w:rsid w:val="00C75680"/>
    <w:rsid w:val="00C758DF"/>
    <w:rsid w:val="00C75B04"/>
    <w:rsid w:val="00C76ABD"/>
    <w:rsid w:val="00C76DAC"/>
    <w:rsid w:val="00C76DE8"/>
    <w:rsid w:val="00C77434"/>
    <w:rsid w:val="00C800F2"/>
    <w:rsid w:val="00C802F7"/>
    <w:rsid w:val="00C80310"/>
    <w:rsid w:val="00C8047D"/>
    <w:rsid w:val="00C80BB7"/>
    <w:rsid w:val="00C80F46"/>
    <w:rsid w:val="00C81487"/>
    <w:rsid w:val="00C823B0"/>
    <w:rsid w:val="00C85511"/>
    <w:rsid w:val="00C85DDE"/>
    <w:rsid w:val="00C865BA"/>
    <w:rsid w:val="00C86B0C"/>
    <w:rsid w:val="00C86B5E"/>
    <w:rsid w:val="00C8724F"/>
    <w:rsid w:val="00C87404"/>
    <w:rsid w:val="00C87D4C"/>
    <w:rsid w:val="00C90286"/>
    <w:rsid w:val="00C90A7D"/>
    <w:rsid w:val="00C913EA"/>
    <w:rsid w:val="00C92F54"/>
    <w:rsid w:val="00C932CD"/>
    <w:rsid w:val="00C93A10"/>
    <w:rsid w:val="00C9430D"/>
    <w:rsid w:val="00C94F5F"/>
    <w:rsid w:val="00C95D48"/>
    <w:rsid w:val="00C962E9"/>
    <w:rsid w:val="00C96643"/>
    <w:rsid w:val="00C9721B"/>
    <w:rsid w:val="00C97232"/>
    <w:rsid w:val="00C9799E"/>
    <w:rsid w:val="00C97DB2"/>
    <w:rsid w:val="00CA0AEE"/>
    <w:rsid w:val="00CA17B6"/>
    <w:rsid w:val="00CA2749"/>
    <w:rsid w:val="00CA3867"/>
    <w:rsid w:val="00CA5390"/>
    <w:rsid w:val="00CA60D5"/>
    <w:rsid w:val="00CA6440"/>
    <w:rsid w:val="00CA7D13"/>
    <w:rsid w:val="00CB0149"/>
    <w:rsid w:val="00CB0B29"/>
    <w:rsid w:val="00CB0BC4"/>
    <w:rsid w:val="00CB1393"/>
    <w:rsid w:val="00CB1452"/>
    <w:rsid w:val="00CB1A09"/>
    <w:rsid w:val="00CB2277"/>
    <w:rsid w:val="00CB253A"/>
    <w:rsid w:val="00CB2D25"/>
    <w:rsid w:val="00CB3AE9"/>
    <w:rsid w:val="00CB3C22"/>
    <w:rsid w:val="00CB4206"/>
    <w:rsid w:val="00CB532D"/>
    <w:rsid w:val="00CB534F"/>
    <w:rsid w:val="00CB5BDE"/>
    <w:rsid w:val="00CB5C4A"/>
    <w:rsid w:val="00CB5CDE"/>
    <w:rsid w:val="00CB702A"/>
    <w:rsid w:val="00CC0B79"/>
    <w:rsid w:val="00CC0EDF"/>
    <w:rsid w:val="00CC248F"/>
    <w:rsid w:val="00CC266A"/>
    <w:rsid w:val="00CC2F00"/>
    <w:rsid w:val="00CC362B"/>
    <w:rsid w:val="00CC3889"/>
    <w:rsid w:val="00CC3C39"/>
    <w:rsid w:val="00CC43A6"/>
    <w:rsid w:val="00CC4B24"/>
    <w:rsid w:val="00CC502A"/>
    <w:rsid w:val="00CC65A4"/>
    <w:rsid w:val="00CC6965"/>
    <w:rsid w:val="00CC712B"/>
    <w:rsid w:val="00CC7291"/>
    <w:rsid w:val="00CD15D8"/>
    <w:rsid w:val="00CD2784"/>
    <w:rsid w:val="00CD2F72"/>
    <w:rsid w:val="00CD3480"/>
    <w:rsid w:val="00CD44FA"/>
    <w:rsid w:val="00CD7616"/>
    <w:rsid w:val="00CD7AB6"/>
    <w:rsid w:val="00CD7DD0"/>
    <w:rsid w:val="00CE0E93"/>
    <w:rsid w:val="00CE0EBB"/>
    <w:rsid w:val="00CE15EC"/>
    <w:rsid w:val="00CE16D5"/>
    <w:rsid w:val="00CE1C4F"/>
    <w:rsid w:val="00CE24FF"/>
    <w:rsid w:val="00CE272A"/>
    <w:rsid w:val="00CE2792"/>
    <w:rsid w:val="00CE3C63"/>
    <w:rsid w:val="00CE51A5"/>
    <w:rsid w:val="00CE545E"/>
    <w:rsid w:val="00CE59CF"/>
    <w:rsid w:val="00CE65EF"/>
    <w:rsid w:val="00CE67FE"/>
    <w:rsid w:val="00CF004F"/>
    <w:rsid w:val="00CF0675"/>
    <w:rsid w:val="00CF06C6"/>
    <w:rsid w:val="00CF0FD2"/>
    <w:rsid w:val="00CF1486"/>
    <w:rsid w:val="00CF1518"/>
    <w:rsid w:val="00CF1636"/>
    <w:rsid w:val="00CF186C"/>
    <w:rsid w:val="00CF2648"/>
    <w:rsid w:val="00CF2D5F"/>
    <w:rsid w:val="00CF309E"/>
    <w:rsid w:val="00CF35AB"/>
    <w:rsid w:val="00CF37EE"/>
    <w:rsid w:val="00CF40E6"/>
    <w:rsid w:val="00CF4B67"/>
    <w:rsid w:val="00CF63BC"/>
    <w:rsid w:val="00CF641D"/>
    <w:rsid w:val="00CF6C94"/>
    <w:rsid w:val="00CF7223"/>
    <w:rsid w:val="00D00AE2"/>
    <w:rsid w:val="00D010CB"/>
    <w:rsid w:val="00D010DB"/>
    <w:rsid w:val="00D023D6"/>
    <w:rsid w:val="00D02743"/>
    <w:rsid w:val="00D02B27"/>
    <w:rsid w:val="00D02E56"/>
    <w:rsid w:val="00D02F08"/>
    <w:rsid w:val="00D0343C"/>
    <w:rsid w:val="00D03594"/>
    <w:rsid w:val="00D040F0"/>
    <w:rsid w:val="00D04BBE"/>
    <w:rsid w:val="00D04DDB"/>
    <w:rsid w:val="00D04F32"/>
    <w:rsid w:val="00D059B7"/>
    <w:rsid w:val="00D05F21"/>
    <w:rsid w:val="00D06539"/>
    <w:rsid w:val="00D07AAB"/>
    <w:rsid w:val="00D1024C"/>
    <w:rsid w:val="00D11C2C"/>
    <w:rsid w:val="00D12E7E"/>
    <w:rsid w:val="00D1365C"/>
    <w:rsid w:val="00D14056"/>
    <w:rsid w:val="00D143CE"/>
    <w:rsid w:val="00D1473E"/>
    <w:rsid w:val="00D149BD"/>
    <w:rsid w:val="00D15169"/>
    <w:rsid w:val="00D15FE6"/>
    <w:rsid w:val="00D1763B"/>
    <w:rsid w:val="00D17D31"/>
    <w:rsid w:val="00D2042E"/>
    <w:rsid w:val="00D20552"/>
    <w:rsid w:val="00D219CF"/>
    <w:rsid w:val="00D21FDA"/>
    <w:rsid w:val="00D2318B"/>
    <w:rsid w:val="00D2493B"/>
    <w:rsid w:val="00D24D6D"/>
    <w:rsid w:val="00D24E60"/>
    <w:rsid w:val="00D25999"/>
    <w:rsid w:val="00D25CF7"/>
    <w:rsid w:val="00D25FDA"/>
    <w:rsid w:val="00D2606A"/>
    <w:rsid w:val="00D263A0"/>
    <w:rsid w:val="00D26644"/>
    <w:rsid w:val="00D26F07"/>
    <w:rsid w:val="00D274CB"/>
    <w:rsid w:val="00D27993"/>
    <w:rsid w:val="00D279E1"/>
    <w:rsid w:val="00D27B28"/>
    <w:rsid w:val="00D30F7F"/>
    <w:rsid w:val="00D31284"/>
    <w:rsid w:val="00D321AD"/>
    <w:rsid w:val="00D33BA2"/>
    <w:rsid w:val="00D33ED0"/>
    <w:rsid w:val="00D3423B"/>
    <w:rsid w:val="00D345BF"/>
    <w:rsid w:val="00D348BB"/>
    <w:rsid w:val="00D34B7F"/>
    <w:rsid w:val="00D3515D"/>
    <w:rsid w:val="00D36261"/>
    <w:rsid w:val="00D367FC"/>
    <w:rsid w:val="00D36AD0"/>
    <w:rsid w:val="00D37549"/>
    <w:rsid w:val="00D3773B"/>
    <w:rsid w:val="00D37F25"/>
    <w:rsid w:val="00D40212"/>
    <w:rsid w:val="00D408FE"/>
    <w:rsid w:val="00D40B20"/>
    <w:rsid w:val="00D40F6B"/>
    <w:rsid w:val="00D43126"/>
    <w:rsid w:val="00D43497"/>
    <w:rsid w:val="00D43FDC"/>
    <w:rsid w:val="00D440A2"/>
    <w:rsid w:val="00D4761A"/>
    <w:rsid w:val="00D47B61"/>
    <w:rsid w:val="00D50677"/>
    <w:rsid w:val="00D50A9D"/>
    <w:rsid w:val="00D50EC0"/>
    <w:rsid w:val="00D51152"/>
    <w:rsid w:val="00D52616"/>
    <w:rsid w:val="00D53ABA"/>
    <w:rsid w:val="00D53B34"/>
    <w:rsid w:val="00D53D40"/>
    <w:rsid w:val="00D54218"/>
    <w:rsid w:val="00D5545A"/>
    <w:rsid w:val="00D5627A"/>
    <w:rsid w:val="00D562BC"/>
    <w:rsid w:val="00D5738B"/>
    <w:rsid w:val="00D574E5"/>
    <w:rsid w:val="00D5794B"/>
    <w:rsid w:val="00D60EE0"/>
    <w:rsid w:val="00D613BF"/>
    <w:rsid w:val="00D61F07"/>
    <w:rsid w:val="00D62022"/>
    <w:rsid w:val="00D63D81"/>
    <w:rsid w:val="00D647DE"/>
    <w:rsid w:val="00D64D6F"/>
    <w:rsid w:val="00D654E2"/>
    <w:rsid w:val="00D66082"/>
    <w:rsid w:val="00D66C3A"/>
    <w:rsid w:val="00D67434"/>
    <w:rsid w:val="00D67996"/>
    <w:rsid w:val="00D67BAF"/>
    <w:rsid w:val="00D67FBE"/>
    <w:rsid w:val="00D70FF5"/>
    <w:rsid w:val="00D710FE"/>
    <w:rsid w:val="00D71A3D"/>
    <w:rsid w:val="00D72047"/>
    <w:rsid w:val="00D72473"/>
    <w:rsid w:val="00D733B3"/>
    <w:rsid w:val="00D73E15"/>
    <w:rsid w:val="00D7446B"/>
    <w:rsid w:val="00D745CE"/>
    <w:rsid w:val="00D74F53"/>
    <w:rsid w:val="00D75C6D"/>
    <w:rsid w:val="00D769A2"/>
    <w:rsid w:val="00D77067"/>
    <w:rsid w:val="00D77AC1"/>
    <w:rsid w:val="00D81D8E"/>
    <w:rsid w:val="00D81F47"/>
    <w:rsid w:val="00D82798"/>
    <w:rsid w:val="00D82BF3"/>
    <w:rsid w:val="00D82F7D"/>
    <w:rsid w:val="00D830A2"/>
    <w:rsid w:val="00D832BE"/>
    <w:rsid w:val="00D8373F"/>
    <w:rsid w:val="00D83946"/>
    <w:rsid w:val="00D84860"/>
    <w:rsid w:val="00D84ABD"/>
    <w:rsid w:val="00D8504C"/>
    <w:rsid w:val="00D85F34"/>
    <w:rsid w:val="00D863B5"/>
    <w:rsid w:val="00D863FB"/>
    <w:rsid w:val="00D864B0"/>
    <w:rsid w:val="00D864C7"/>
    <w:rsid w:val="00D866FA"/>
    <w:rsid w:val="00D86EB5"/>
    <w:rsid w:val="00D87148"/>
    <w:rsid w:val="00D87361"/>
    <w:rsid w:val="00D873E5"/>
    <w:rsid w:val="00D874D4"/>
    <w:rsid w:val="00D90193"/>
    <w:rsid w:val="00D90B10"/>
    <w:rsid w:val="00D90BCA"/>
    <w:rsid w:val="00D911F9"/>
    <w:rsid w:val="00D91875"/>
    <w:rsid w:val="00D91AF4"/>
    <w:rsid w:val="00D91F4F"/>
    <w:rsid w:val="00D92F38"/>
    <w:rsid w:val="00D94348"/>
    <w:rsid w:val="00D9436E"/>
    <w:rsid w:val="00D94827"/>
    <w:rsid w:val="00DA01CD"/>
    <w:rsid w:val="00DA112D"/>
    <w:rsid w:val="00DA13AD"/>
    <w:rsid w:val="00DA15BE"/>
    <w:rsid w:val="00DA1889"/>
    <w:rsid w:val="00DA267F"/>
    <w:rsid w:val="00DA472E"/>
    <w:rsid w:val="00DA4871"/>
    <w:rsid w:val="00DA4C26"/>
    <w:rsid w:val="00DA5D19"/>
    <w:rsid w:val="00DA628F"/>
    <w:rsid w:val="00DA651E"/>
    <w:rsid w:val="00DA7593"/>
    <w:rsid w:val="00DA76B7"/>
    <w:rsid w:val="00DA7C57"/>
    <w:rsid w:val="00DB2409"/>
    <w:rsid w:val="00DB28DA"/>
    <w:rsid w:val="00DB2DEE"/>
    <w:rsid w:val="00DB3401"/>
    <w:rsid w:val="00DB37A2"/>
    <w:rsid w:val="00DB3AFC"/>
    <w:rsid w:val="00DB3F59"/>
    <w:rsid w:val="00DB4798"/>
    <w:rsid w:val="00DB6989"/>
    <w:rsid w:val="00DC104B"/>
    <w:rsid w:val="00DC13E3"/>
    <w:rsid w:val="00DC1E03"/>
    <w:rsid w:val="00DC256E"/>
    <w:rsid w:val="00DC28CD"/>
    <w:rsid w:val="00DC2D0A"/>
    <w:rsid w:val="00DC2D61"/>
    <w:rsid w:val="00DC30C1"/>
    <w:rsid w:val="00DC30CE"/>
    <w:rsid w:val="00DC3780"/>
    <w:rsid w:val="00DC40D2"/>
    <w:rsid w:val="00DC4205"/>
    <w:rsid w:val="00DC7D5D"/>
    <w:rsid w:val="00DD1EB6"/>
    <w:rsid w:val="00DD2419"/>
    <w:rsid w:val="00DD3FDF"/>
    <w:rsid w:val="00DD408E"/>
    <w:rsid w:val="00DD40C0"/>
    <w:rsid w:val="00DD4318"/>
    <w:rsid w:val="00DD4796"/>
    <w:rsid w:val="00DD4CA2"/>
    <w:rsid w:val="00DD4E65"/>
    <w:rsid w:val="00DD4EBF"/>
    <w:rsid w:val="00DD51FA"/>
    <w:rsid w:val="00DD5289"/>
    <w:rsid w:val="00DD5B40"/>
    <w:rsid w:val="00DD5FCB"/>
    <w:rsid w:val="00DD658A"/>
    <w:rsid w:val="00DD666F"/>
    <w:rsid w:val="00DD66A0"/>
    <w:rsid w:val="00DD7B45"/>
    <w:rsid w:val="00DD7BAC"/>
    <w:rsid w:val="00DD7E74"/>
    <w:rsid w:val="00DE029D"/>
    <w:rsid w:val="00DE0854"/>
    <w:rsid w:val="00DE253A"/>
    <w:rsid w:val="00DE259D"/>
    <w:rsid w:val="00DE3825"/>
    <w:rsid w:val="00DE3C8A"/>
    <w:rsid w:val="00DE4840"/>
    <w:rsid w:val="00DE5DF3"/>
    <w:rsid w:val="00DE6780"/>
    <w:rsid w:val="00DE691E"/>
    <w:rsid w:val="00DE6B84"/>
    <w:rsid w:val="00DE6C76"/>
    <w:rsid w:val="00DE7A5A"/>
    <w:rsid w:val="00DF0C02"/>
    <w:rsid w:val="00DF182F"/>
    <w:rsid w:val="00DF42CB"/>
    <w:rsid w:val="00DF52DA"/>
    <w:rsid w:val="00DF573F"/>
    <w:rsid w:val="00DF752D"/>
    <w:rsid w:val="00E006F3"/>
    <w:rsid w:val="00E019CC"/>
    <w:rsid w:val="00E02E4A"/>
    <w:rsid w:val="00E02E8E"/>
    <w:rsid w:val="00E04F4A"/>
    <w:rsid w:val="00E051F5"/>
    <w:rsid w:val="00E055CB"/>
    <w:rsid w:val="00E06078"/>
    <w:rsid w:val="00E062FE"/>
    <w:rsid w:val="00E06A50"/>
    <w:rsid w:val="00E06E73"/>
    <w:rsid w:val="00E06F3B"/>
    <w:rsid w:val="00E07AF7"/>
    <w:rsid w:val="00E106AA"/>
    <w:rsid w:val="00E10CC9"/>
    <w:rsid w:val="00E10EE0"/>
    <w:rsid w:val="00E11304"/>
    <w:rsid w:val="00E12894"/>
    <w:rsid w:val="00E12AB1"/>
    <w:rsid w:val="00E1308B"/>
    <w:rsid w:val="00E13289"/>
    <w:rsid w:val="00E13836"/>
    <w:rsid w:val="00E13E85"/>
    <w:rsid w:val="00E14843"/>
    <w:rsid w:val="00E1503B"/>
    <w:rsid w:val="00E15BBC"/>
    <w:rsid w:val="00E15F9B"/>
    <w:rsid w:val="00E161D7"/>
    <w:rsid w:val="00E16AF5"/>
    <w:rsid w:val="00E17B2F"/>
    <w:rsid w:val="00E2206E"/>
    <w:rsid w:val="00E222DC"/>
    <w:rsid w:val="00E22672"/>
    <w:rsid w:val="00E23166"/>
    <w:rsid w:val="00E23340"/>
    <w:rsid w:val="00E23AFC"/>
    <w:rsid w:val="00E23D4E"/>
    <w:rsid w:val="00E243C3"/>
    <w:rsid w:val="00E267CF"/>
    <w:rsid w:val="00E269B6"/>
    <w:rsid w:val="00E271C2"/>
    <w:rsid w:val="00E27CD5"/>
    <w:rsid w:val="00E27DE8"/>
    <w:rsid w:val="00E30167"/>
    <w:rsid w:val="00E3048D"/>
    <w:rsid w:val="00E30B12"/>
    <w:rsid w:val="00E31931"/>
    <w:rsid w:val="00E32169"/>
    <w:rsid w:val="00E32BD3"/>
    <w:rsid w:val="00E32FBC"/>
    <w:rsid w:val="00E3384C"/>
    <w:rsid w:val="00E34D3A"/>
    <w:rsid w:val="00E35B3D"/>
    <w:rsid w:val="00E37B0B"/>
    <w:rsid w:val="00E40B47"/>
    <w:rsid w:val="00E42981"/>
    <w:rsid w:val="00E42B15"/>
    <w:rsid w:val="00E42F09"/>
    <w:rsid w:val="00E43419"/>
    <w:rsid w:val="00E443DA"/>
    <w:rsid w:val="00E44E10"/>
    <w:rsid w:val="00E44EF1"/>
    <w:rsid w:val="00E455BE"/>
    <w:rsid w:val="00E45D1E"/>
    <w:rsid w:val="00E45FA5"/>
    <w:rsid w:val="00E47BE5"/>
    <w:rsid w:val="00E51704"/>
    <w:rsid w:val="00E52B9D"/>
    <w:rsid w:val="00E547F3"/>
    <w:rsid w:val="00E54A1F"/>
    <w:rsid w:val="00E55528"/>
    <w:rsid w:val="00E55E33"/>
    <w:rsid w:val="00E5678A"/>
    <w:rsid w:val="00E56EA5"/>
    <w:rsid w:val="00E606BE"/>
    <w:rsid w:val="00E612FA"/>
    <w:rsid w:val="00E6191A"/>
    <w:rsid w:val="00E61EF5"/>
    <w:rsid w:val="00E620EE"/>
    <w:rsid w:val="00E63431"/>
    <w:rsid w:val="00E6468F"/>
    <w:rsid w:val="00E664D9"/>
    <w:rsid w:val="00E66611"/>
    <w:rsid w:val="00E6776A"/>
    <w:rsid w:val="00E7047A"/>
    <w:rsid w:val="00E71473"/>
    <w:rsid w:val="00E72ADF"/>
    <w:rsid w:val="00E72CA3"/>
    <w:rsid w:val="00E73624"/>
    <w:rsid w:val="00E73723"/>
    <w:rsid w:val="00E74040"/>
    <w:rsid w:val="00E741C1"/>
    <w:rsid w:val="00E741D0"/>
    <w:rsid w:val="00E7445B"/>
    <w:rsid w:val="00E74DD3"/>
    <w:rsid w:val="00E755C4"/>
    <w:rsid w:val="00E75847"/>
    <w:rsid w:val="00E7747E"/>
    <w:rsid w:val="00E776FD"/>
    <w:rsid w:val="00E77FBC"/>
    <w:rsid w:val="00E806E9"/>
    <w:rsid w:val="00E80FEF"/>
    <w:rsid w:val="00E81BDB"/>
    <w:rsid w:val="00E8437A"/>
    <w:rsid w:val="00E84975"/>
    <w:rsid w:val="00E849B3"/>
    <w:rsid w:val="00E84BA6"/>
    <w:rsid w:val="00E856DE"/>
    <w:rsid w:val="00E85958"/>
    <w:rsid w:val="00E85E28"/>
    <w:rsid w:val="00E86971"/>
    <w:rsid w:val="00E870A6"/>
    <w:rsid w:val="00E87F1B"/>
    <w:rsid w:val="00E90709"/>
    <w:rsid w:val="00E90803"/>
    <w:rsid w:val="00E9083F"/>
    <w:rsid w:val="00E926C5"/>
    <w:rsid w:val="00E92916"/>
    <w:rsid w:val="00E93BD3"/>
    <w:rsid w:val="00E93F7B"/>
    <w:rsid w:val="00E944A6"/>
    <w:rsid w:val="00E96FA0"/>
    <w:rsid w:val="00E9735F"/>
    <w:rsid w:val="00EA0521"/>
    <w:rsid w:val="00EA0827"/>
    <w:rsid w:val="00EA0843"/>
    <w:rsid w:val="00EA2210"/>
    <w:rsid w:val="00EA2B06"/>
    <w:rsid w:val="00EA2BDB"/>
    <w:rsid w:val="00EA3705"/>
    <w:rsid w:val="00EA3817"/>
    <w:rsid w:val="00EA38A5"/>
    <w:rsid w:val="00EA3B1E"/>
    <w:rsid w:val="00EA46E9"/>
    <w:rsid w:val="00EA4AA0"/>
    <w:rsid w:val="00EA57B1"/>
    <w:rsid w:val="00EA5B2D"/>
    <w:rsid w:val="00EA6D53"/>
    <w:rsid w:val="00EA6D6E"/>
    <w:rsid w:val="00EA799E"/>
    <w:rsid w:val="00EB08EA"/>
    <w:rsid w:val="00EB113D"/>
    <w:rsid w:val="00EB124A"/>
    <w:rsid w:val="00EB1A54"/>
    <w:rsid w:val="00EB1B1D"/>
    <w:rsid w:val="00EB1E79"/>
    <w:rsid w:val="00EB4F8C"/>
    <w:rsid w:val="00EB5C16"/>
    <w:rsid w:val="00EB78C9"/>
    <w:rsid w:val="00EB7A12"/>
    <w:rsid w:val="00EC05F1"/>
    <w:rsid w:val="00EC0F7B"/>
    <w:rsid w:val="00EC2483"/>
    <w:rsid w:val="00EC32FD"/>
    <w:rsid w:val="00EC43CE"/>
    <w:rsid w:val="00EC5147"/>
    <w:rsid w:val="00EC5209"/>
    <w:rsid w:val="00EC53A1"/>
    <w:rsid w:val="00EC5600"/>
    <w:rsid w:val="00EC5850"/>
    <w:rsid w:val="00EC6936"/>
    <w:rsid w:val="00EC732E"/>
    <w:rsid w:val="00EC7B09"/>
    <w:rsid w:val="00ED03EE"/>
    <w:rsid w:val="00ED10D6"/>
    <w:rsid w:val="00ED1AF5"/>
    <w:rsid w:val="00ED1B14"/>
    <w:rsid w:val="00ED58FA"/>
    <w:rsid w:val="00ED59CD"/>
    <w:rsid w:val="00ED5A2B"/>
    <w:rsid w:val="00ED68F3"/>
    <w:rsid w:val="00ED6C22"/>
    <w:rsid w:val="00ED6DEF"/>
    <w:rsid w:val="00ED6F09"/>
    <w:rsid w:val="00ED7477"/>
    <w:rsid w:val="00EE1C16"/>
    <w:rsid w:val="00EE1C83"/>
    <w:rsid w:val="00EE364D"/>
    <w:rsid w:val="00EE36E4"/>
    <w:rsid w:val="00EE5116"/>
    <w:rsid w:val="00EE5621"/>
    <w:rsid w:val="00EE57CA"/>
    <w:rsid w:val="00EE5B3F"/>
    <w:rsid w:val="00EE7FD0"/>
    <w:rsid w:val="00EF0542"/>
    <w:rsid w:val="00EF2624"/>
    <w:rsid w:val="00EF2822"/>
    <w:rsid w:val="00EF2F61"/>
    <w:rsid w:val="00EF2F89"/>
    <w:rsid w:val="00EF32BF"/>
    <w:rsid w:val="00EF36D8"/>
    <w:rsid w:val="00EF4195"/>
    <w:rsid w:val="00EF4473"/>
    <w:rsid w:val="00EF500B"/>
    <w:rsid w:val="00EF5208"/>
    <w:rsid w:val="00EF5EBA"/>
    <w:rsid w:val="00EF67AB"/>
    <w:rsid w:val="00EF67D9"/>
    <w:rsid w:val="00EF684E"/>
    <w:rsid w:val="00EF6F74"/>
    <w:rsid w:val="00EF71AC"/>
    <w:rsid w:val="00EF7229"/>
    <w:rsid w:val="00EF7FD5"/>
    <w:rsid w:val="00F0073B"/>
    <w:rsid w:val="00F0099B"/>
    <w:rsid w:val="00F009FE"/>
    <w:rsid w:val="00F00E9D"/>
    <w:rsid w:val="00F0104B"/>
    <w:rsid w:val="00F01E1B"/>
    <w:rsid w:val="00F02BC1"/>
    <w:rsid w:val="00F02C9C"/>
    <w:rsid w:val="00F063F7"/>
    <w:rsid w:val="00F06E74"/>
    <w:rsid w:val="00F07443"/>
    <w:rsid w:val="00F078A7"/>
    <w:rsid w:val="00F11404"/>
    <w:rsid w:val="00F11688"/>
    <w:rsid w:val="00F117BB"/>
    <w:rsid w:val="00F11E0D"/>
    <w:rsid w:val="00F12A58"/>
    <w:rsid w:val="00F12B2B"/>
    <w:rsid w:val="00F13324"/>
    <w:rsid w:val="00F145B2"/>
    <w:rsid w:val="00F14F46"/>
    <w:rsid w:val="00F15F17"/>
    <w:rsid w:val="00F1614E"/>
    <w:rsid w:val="00F161EC"/>
    <w:rsid w:val="00F16793"/>
    <w:rsid w:val="00F215D4"/>
    <w:rsid w:val="00F22294"/>
    <w:rsid w:val="00F236A1"/>
    <w:rsid w:val="00F23B48"/>
    <w:rsid w:val="00F23D3E"/>
    <w:rsid w:val="00F23E49"/>
    <w:rsid w:val="00F24291"/>
    <w:rsid w:val="00F249F0"/>
    <w:rsid w:val="00F25296"/>
    <w:rsid w:val="00F25FBF"/>
    <w:rsid w:val="00F26005"/>
    <w:rsid w:val="00F2651D"/>
    <w:rsid w:val="00F266EC"/>
    <w:rsid w:val="00F27738"/>
    <w:rsid w:val="00F27FF4"/>
    <w:rsid w:val="00F30459"/>
    <w:rsid w:val="00F30C66"/>
    <w:rsid w:val="00F31F10"/>
    <w:rsid w:val="00F3288D"/>
    <w:rsid w:val="00F3299F"/>
    <w:rsid w:val="00F32A2F"/>
    <w:rsid w:val="00F32AF3"/>
    <w:rsid w:val="00F32D69"/>
    <w:rsid w:val="00F330FB"/>
    <w:rsid w:val="00F33303"/>
    <w:rsid w:val="00F334AD"/>
    <w:rsid w:val="00F33857"/>
    <w:rsid w:val="00F33BBF"/>
    <w:rsid w:val="00F33BD8"/>
    <w:rsid w:val="00F340EB"/>
    <w:rsid w:val="00F341C8"/>
    <w:rsid w:val="00F34D39"/>
    <w:rsid w:val="00F36A46"/>
    <w:rsid w:val="00F37EE6"/>
    <w:rsid w:val="00F40B8B"/>
    <w:rsid w:val="00F40E23"/>
    <w:rsid w:val="00F41590"/>
    <w:rsid w:val="00F43B27"/>
    <w:rsid w:val="00F45640"/>
    <w:rsid w:val="00F45B81"/>
    <w:rsid w:val="00F45ECE"/>
    <w:rsid w:val="00F472CA"/>
    <w:rsid w:val="00F474A7"/>
    <w:rsid w:val="00F501E2"/>
    <w:rsid w:val="00F50202"/>
    <w:rsid w:val="00F5136B"/>
    <w:rsid w:val="00F513EC"/>
    <w:rsid w:val="00F5174B"/>
    <w:rsid w:val="00F5235A"/>
    <w:rsid w:val="00F5282B"/>
    <w:rsid w:val="00F55343"/>
    <w:rsid w:val="00F559E2"/>
    <w:rsid w:val="00F55D6D"/>
    <w:rsid w:val="00F573A1"/>
    <w:rsid w:val="00F60661"/>
    <w:rsid w:val="00F6117B"/>
    <w:rsid w:val="00F61A1F"/>
    <w:rsid w:val="00F6238E"/>
    <w:rsid w:val="00F62C5D"/>
    <w:rsid w:val="00F639C3"/>
    <w:rsid w:val="00F642E2"/>
    <w:rsid w:val="00F65049"/>
    <w:rsid w:val="00F652D9"/>
    <w:rsid w:val="00F65824"/>
    <w:rsid w:val="00F65907"/>
    <w:rsid w:val="00F65B49"/>
    <w:rsid w:val="00F66662"/>
    <w:rsid w:val="00F66EB8"/>
    <w:rsid w:val="00F67317"/>
    <w:rsid w:val="00F6793B"/>
    <w:rsid w:val="00F6797C"/>
    <w:rsid w:val="00F7144C"/>
    <w:rsid w:val="00F735BF"/>
    <w:rsid w:val="00F736B5"/>
    <w:rsid w:val="00F744C2"/>
    <w:rsid w:val="00F75EC2"/>
    <w:rsid w:val="00F765D4"/>
    <w:rsid w:val="00F76CC0"/>
    <w:rsid w:val="00F77574"/>
    <w:rsid w:val="00F77689"/>
    <w:rsid w:val="00F80079"/>
    <w:rsid w:val="00F80611"/>
    <w:rsid w:val="00F828A9"/>
    <w:rsid w:val="00F82D62"/>
    <w:rsid w:val="00F82E5C"/>
    <w:rsid w:val="00F8330A"/>
    <w:rsid w:val="00F8395F"/>
    <w:rsid w:val="00F83F13"/>
    <w:rsid w:val="00F84047"/>
    <w:rsid w:val="00F8410D"/>
    <w:rsid w:val="00F85C75"/>
    <w:rsid w:val="00F865EF"/>
    <w:rsid w:val="00F865FE"/>
    <w:rsid w:val="00F87354"/>
    <w:rsid w:val="00F913BE"/>
    <w:rsid w:val="00F91F76"/>
    <w:rsid w:val="00F92A54"/>
    <w:rsid w:val="00F930AB"/>
    <w:rsid w:val="00F938E9"/>
    <w:rsid w:val="00F93D32"/>
    <w:rsid w:val="00F94F95"/>
    <w:rsid w:val="00F951B0"/>
    <w:rsid w:val="00F95FF8"/>
    <w:rsid w:val="00F96A51"/>
    <w:rsid w:val="00F970FE"/>
    <w:rsid w:val="00F9716A"/>
    <w:rsid w:val="00F972EF"/>
    <w:rsid w:val="00FA08C1"/>
    <w:rsid w:val="00FA1044"/>
    <w:rsid w:val="00FA12D7"/>
    <w:rsid w:val="00FA219B"/>
    <w:rsid w:val="00FA2271"/>
    <w:rsid w:val="00FA29DE"/>
    <w:rsid w:val="00FA3617"/>
    <w:rsid w:val="00FA4053"/>
    <w:rsid w:val="00FA40EB"/>
    <w:rsid w:val="00FA5E38"/>
    <w:rsid w:val="00FA6087"/>
    <w:rsid w:val="00FA745B"/>
    <w:rsid w:val="00FA7757"/>
    <w:rsid w:val="00FA7996"/>
    <w:rsid w:val="00FB072B"/>
    <w:rsid w:val="00FB11DD"/>
    <w:rsid w:val="00FB2332"/>
    <w:rsid w:val="00FB25A9"/>
    <w:rsid w:val="00FB294C"/>
    <w:rsid w:val="00FB3071"/>
    <w:rsid w:val="00FB380F"/>
    <w:rsid w:val="00FB3A5C"/>
    <w:rsid w:val="00FB3D63"/>
    <w:rsid w:val="00FB40F2"/>
    <w:rsid w:val="00FB4553"/>
    <w:rsid w:val="00FB5AEB"/>
    <w:rsid w:val="00FB6206"/>
    <w:rsid w:val="00FB65DA"/>
    <w:rsid w:val="00FB6A81"/>
    <w:rsid w:val="00FB6C86"/>
    <w:rsid w:val="00FB71CE"/>
    <w:rsid w:val="00FB73B6"/>
    <w:rsid w:val="00FB7FC7"/>
    <w:rsid w:val="00FC16D8"/>
    <w:rsid w:val="00FC1A38"/>
    <w:rsid w:val="00FC2506"/>
    <w:rsid w:val="00FC3BA6"/>
    <w:rsid w:val="00FC3FCC"/>
    <w:rsid w:val="00FC4279"/>
    <w:rsid w:val="00FC4539"/>
    <w:rsid w:val="00FC47A0"/>
    <w:rsid w:val="00FC4F38"/>
    <w:rsid w:val="00FC578F"/>
    <w:rsid w:val="00FC61DA"/>
    <w:rsid w:val="00FC68F7"/>
    <w:rsid w:val="00FC71AE"/>
    <w:rsid w:val="00FC79EB"/>
    <w:rsid w:val="00FD0784"/>
    <w:rsid w:val="00FD0F26"/>
    <w:rsid w:val="00FD1246"/>
    <w:rsid w:val="00FD135E"/>
    <w:rsid w:val="00FD1960"/>
    <w:rsid w:val="00FD1AE7"/>
    <w:rsid w:val="00FD1F17"/>
    <w:rsid w:val="00FD214D"/>
    <w:rsid w:val="00FD3748"/>
    <w:rsid w:val="00FD4926"/>
    <w:rsid w:val="00FD4ABB"/>
    <w:rsid w:val="00FD4F8D"/>
    <w:rsid w:val="00FD53A9"/>
    <w:rsid w:val="00FD5FA1"/>
    <w:rsid w:val="00FD6033"/>
    <w:rsid w:val="00FD683C"/>
    <w:rsid w:val="00FD6957"/>
    <w:rsid w:val="00FD6A30"/>
    <w:rsid w:val="00FD75A7"/>
    <w:rsid w:val="00FD786E"/>
    <w:rsid w:val="00FD7A91"/>
    <w:rsid w:val="00FD7F62"/>
    <w:rsid w:val="00FE17C0"/>
    <w:rsid w:val="00FE2073"/>
    <w:rsid w:val="00FE20D6"/>
    <w:rsid w:val="00FE24CF"/>
    <w:rsid w:val="00FE29E1"/>
    <w:rsid w:val="00FE2B01"/>
    <w:rsid w:val="00FE31B3"/>
    <w:rsid w:val="00FE3611"/>
    <w:rsid w:val="00FE39D1"/>
    <w:rsid w:val="00FE506D"/>
    <w:rsid w:val="00FE59E1"/>
    <w:rsid w:val="00FE5F7B"/>
    <w:rsid w:val="00FE635C"/>
    <w:rsid w:val="00FE67DF"/>
    <w:rsid w:val="00FE76F1"/>
    <w:rsid w:val="00FF1310"/>
    <w:rsid w:val="00FF28EE"/>
    <w:rsid w:val="00FF2970"/>
    <w:rsid w:val="00FF3033"/>
    <w:rsid w:val="00FF312A"/>
    <w:rsid w:val="00FF387D"/>
    <w:rsid w:val="00FF4470"/>
    <w:rsid w:val="00FF4AB1"/>
    <w:rsid w:val="00FF4E56"/>
    <w:rsid w:val="00FF6897"/>
    <w:rsid w:val="00FF77E6"/>
    <w:rsid w:val="00FF77F5"/>
    <w:rsid w:val="020326BD"/>
    <w:rsid w:val="02A57153"/>
    <w:rsid w:val="0486AD1B"/>
    <w:rsid w:val="06324BF7"/>
    <w:rsid w:val="06BA833E"/>
    <w:rsid w:val="0718CDE9"/>
    <w:rsid w:val="0891D2DE"/>
    <w:rsid w:val="0A06F288"/>
    <w:rsid w:val="0DBBAD4E"/>
    <w:rsid w:val="0E8BB4C4"/>
    <w:rsid w:val="0EAB13A2"/>
    <w:rsid w:val="0ED9F422"/>
    <w:rsid w:val="0EEE68CD"/>
    <w:rsid w:val="0F69F38A"/>
    <w:rsid w:val="0FBD1FF2"/>
    <w:rsid w:val="0FDCED67"/>
    <w:rsid w:val="10161B6C"/>
    <w:rsid w:val="102A5090"/>
    <w:rsid w:val="10B6B9EB"/>
    <w:rsid w:val="11531056"/>
    <w:rsid w:val="119D2614"/>
    <w:rsid w:val="11CC23A8"/>
    <w:rsid w:val="120516BB"/>
    <w:rsid w:val="125056C9"/>
    <w:rsid w:val="129A6FC5"/>
    <w:rsid w:val="12B456D9"/>
    <w:rsid w:val="1502DAF6"/>
    <w:rsid w:val="151C37E2"/>
    <w:rsid w:val="15428EA6"/>
    <w:rsid w:val="15C6AC7B"/>
    <w:rsid w:val="168B18C0"/>
    <w:rsid w:val="17707930"/>
    <w:rsid w:val="1780E68C"/>
    <w:rsid w:val="18251D75"/>
    <w:rsid w:val="189F897B"/>
    <w:rsid w:val="18C53C40"/>
    <w:rsid w:val="19069D24"/>
    <w:rsid w:val="1925C735"/>
    <w:rsid w:val="193B38C4"/>
    <w:rsid w:val="1A8CA053"/>
    <w:rsid w:val="1AFDC2E2"/>
    <w:rsid w:val="1B3FC6E8"/>
    <w:rsid w:val="1B988A1A"/>
    <w:rsid w:val="1BA5C52E"/>
    <w:rsid w:val="1C51679A"/>
    <w:rsid w:val="1C7B6EA0"/>
    <w:rsid w:val="1CB1F3A4"/>
    <w:rsid w:val="1D9E69E0"/>
    <w:rsid w:val="1DA72A49"/>
    <w:rsid w:val="1DE2ABBB"/>
    <w:rsid w:val="1E2AB3B9"/>
    <w:rsid w:val="1E60F78F"/>
    <w:rsid w:val="1F97448E"/>
    <w:rsid w:val="209362BA"/>
    <w:rsid w:val="210ADD8B"/>
    <w:rsid w:val="21335E49"/>
    <w:rsid w:val="216D6EFC"/>
    <w:rsid w:val="217B108C"/>
    <w:rsid w:val="219697AA"/>
    <w:rsid w:val="21C93577"/>
    <w:rsid w:val="229062A0"/>
    <w:rsid w:val="2320ADD8"/>
    <w:rsid w:val="235D8BCC"/>
    <w:rsid w:val="2399A204"/>
    <w:rsid w:val="23A48784"/>
    <w:rsid w:val="24345EBC"/>
    <w:rsid w:val="24441922"/>
    <w:rsid w:val="24D59C33"/>
    <w:rsid w:val="267D04A5"/>
    <w:rsid w:val="26BA1C4E"/>
    <w:rsid w:val="26CEFCB7"/>
    <w:rsid w:val="277F9E7F"/>
    <w:rsid w:val="2795C81D"/>
    <w:rsid w:val="28251F64"/>
    <w:rsid w:val="2869A539"/>
    <w:rsid w:val="289DA608"/>
    <w:rsid w:val="2956C8DB"/>
    <w:rsid w:val="29AF39F7"/>
    <w:rsid w:val="29CB05B9"/>
    <w:rsid w:val="2CDF5790"/>
    <w:rsid w:val="2DC02719"/>
    <w:rsid w:val="2E4BD897"/>
    <w:rsid w:val="2FEB9C8E"/>
    <w:rsid w:val="30BFDD24"/>
    <w:rsid w:val="310F6161"/>
    <w:rsid w:val="3110F2AA"/>
    <w:rsid w:val="318A3201"/>
    <w:rsid w:val="3194D79B"/>
    <w:rsid w:val="324FC25F"/>
    <w:rsid w:val="327F7E74"/>
    <w:rsid w:val="329B465D"/>
    <w:rsid w:val="338C45F8"/>
    <w:rsid w:val="339131DA"/>
    <w:rsid w:val="33AC671D"/>
    <w:rsid w:val="33B670B7"/>
    <w:rsid w:val="34CE087E"/>
    <w:rsid w:val="35117CAA"/>
    <w:rsid w:val="3557A935"/>
    <w:rsid w:val="35643B90"/>
    <w:rsid w:val="36353BB2"/>
    <w:rsid w:val="36477A20"/>
    <w:rsid w:val="36802023"/>
    <w:rsid w:val="36C9B76D"/>
    <w:rsid w:val="3767B461"/>
    <w:rsid w:val="37896583"/>
    <w:rsid w:val="37BF38FF"/>
    <w:rsid w:val="382C5812"/>
    <w:rsid w:val="39832574"/>
    <w:rsid w:val="3A5D7748"/>
    <w:rsid w:val="3B545705"/>
    <w:rsid w:val="3C005B60"/>
    <w:rsid w:val="3CB72C43"/>
    <w:rsid w:val="3CB99FBB"/>
    <w:rsid w:val="3D4737F1"/>
    <w:rsid w:val="3DB3B37D"/>
    <w:rsid w:val="3DB4205A"/>
    <w:rsid w:val="3DE5B97B"/>
    <w:rsid w:val="3E8D162A"/>
    <w:rsid w:val="3F149784"/>
    <w:rsid w:val="3F18122C"/>
    <w:rsid w:val="3F4088F9"/>
    <w:rsid w:val="405ED2C9"/>
    <w:rsid w:val="40FDCAD4"/>
    <w:rsid w:val="41237A5E"/>
    <w:rsid w:val="41B98E7F"/>
    <w:rsid w:val="41CA5B77"/>
    <w:rsid w:val="426661AA"/>
    <w:rsid w:val="42932BFE"/>
    <w:rsid w:val="42EF4935"/>
    <w:rsid w:val="43B6E509"/>
    <w:rsid w:val="43BD7BCA"/>
    <w:rsid w:val="4491DC79"/>
    <w:rsid w:val="44A844D1"/>
    <w:rsid w:val="44AC23E2"/>
    <w:rsid w:val="44D359CB"/>
    <w:rsid w:val="454EA966"/>
    <w:rsid w:val="461D897E"/>
    <w:rsid w:val="46554F54"/>
    <w:rsid w:val="468FD564"/>
    <w:rsid w:val="4730A1E1"/>
    <w:rsid w:val="473A0C12"/>
    <w:rsid w:val="475B6D4F"/>
    <w:rsid w:val="47C44AEA"/>
    <w:rsid w:val="47D456E9"/>
    <w:rsid w:val="48289B2C"/>
    <w:rsid w:val="486EBB44"/>
    <w:rsid w:val="49119FC5"/>
    <w:rsid w:val="497263DC"/>
    <w:rsid w:val="499744A7"/>
    <w:rsid w:val="49A1E382"/>
    <w:rsid w:val="4B4D09D1"/>
    <w:rsid w:val="4C0DFE6A"/>
    <w:rsid w:val="4CBF09DE"/>
    <w:rsid w:val="4CD49DC8"/>
    <w:rsid w:val="4CE8BEF4"/>
    <w:rsid w:val="4DA05A8F"/>
    <w:rsid w:val="4DBF9A30"/>
    <w:rsid w:val="4E160AA3"/>
    <w:rsid w:val="4E3EBC45"/>
    <w:rsid w:val="4E640A87"/>
    <w:rsid w:val="4ECCD890"/>
    <w:rsid w:val="4ECD381E"/>
    <w:rsid w:val="4FBD8530"/>
    <w:rsid w:val="4FEDC1E9"/>
    <w:rsid w:val="50E03050"/>
    <w:rsid w:val="5161EADB"/>
    <w:rsid w:val="518EEA6F"/>
    <w:rsid w:val="519D6DA3"/>
    <w:rsid w:val="51FB9059"/>
    <w:rsid w:val="5243ECF7"/>
    <w:rsid w:val="52F5EC95"/>
    <w:rsid w:val="53306B99"/>
    <w:rsid w:val="53569DF4"/>
    <w:rsid w:val="54D92395"/>
    <w:rsid w:val="56890E07"/>
    <w:rsid w:val="56952D26"/>
    <w:rsid w:val="571A7F60"/>
    <w:rsid w:val="57688C5B"/>
    <w:rsid w:val="5775EE2D"/>
    <w:rsid w:val="58895AA6"/>
    <w:rsid w:val="58F683CB"/>
    <w:rsid w:val="594D03F6"/>
    <w:rsid w:val="598E0357"/>
    <w:rsid w:val="5A625CD1"/>
    <w:rsid w:val="5A75F98C"/>
    <w:rsid w:val="5AA27A5E"/>
    <w:rsid w:val="5B405F6E"/>
    <w:rsid w:val="5BCC9533"/>
    <w:rsid w:val="5C1BB18B"/>
    <w:rsid w:val="5C480112"/>
    <w:rsid w:val="5CB20AAE"/>
    <w:rsid w:val="5CB73CF0"/>
    <w:rsid w:val="5D478D4C"/>
    <w:rsid w:val="5DB5C9A2"/>
    <w:rsid w:val="5DF0FB93"/>
    <w:rsid w:val="5DF29635"/>
    <w:rsid w:val="5E51E1F7"/>
    <w:rsid w:val="5E7665A2"/>
    <w:rsid w:val="5EF661F1"/>
    <w:rsid w:val="60E22344"/>
    <w:rsid w:val="60EF6B9A"/>
    <w:rsid w:val="61672117"/>
    <w:rsid w:val="63079C1C"/>
    <w:rsid w:val="632FC5B7"/>
    <w:rsid w:val="6365BF8B"/>
    <w:rsid w:val="636BCFBE"/>
    <w:rsid w:val="6393AB30"/>
    <w:rsid w:val="63B2FB55"/>
    <w:rsid w:val="65318D7B"/>
    <w:rsid w:val="65B360F0"/>
    <w:rsid w:val="675536A7"/>
    <w:rsid w:val="67C684E1"/>
    <w:rsid w:val="67EC53A2"/>
    <w:rsid w:val="698AECE9"/>
    <w:rsid w:val="69CC4677"/>
    <w:rsid w:val="69D3C0E2"/>
    <w:rsid w:val="6A19BF35"/>
    <w:rsid w:val="6A216C4B"/>
    <w:rsid w:val="6BB4A665"/>
    <w:rsid w:val="6C112A57"/>
    <w:rsid w:val="6CBE7D97"/>
    <w:rsid w:val="6E17201A"/>
    <w:rsid w:val="6E23F39D"/>
    <w:rsid w:val="6E6A4112"/>
    <w:rsid w:val="6F22FCF8"/>
    <w:rsid w:val="6F360B28"/>
    <w:rsid w:val="6F665D18"/>
    <w:rsid w:val="709C76C1"/>
    <w:rsid w:val="70D085FC"/>
    <w:rsid w:val="70E2A266"/>
    <w:rsid w:val="70FD7466"/>
    <w:rsid w:val="71251867"/>
    <w:rsid w:val="71A4C6B2"/>
    <w:rsid w:val="72A23224"/>
    <w:rsid w:val="7376516F"/>
    <w:rsid w:val="746E920B"/>
    <w:rsid w:val="74DC73DA"/>
    <w:rsid w:val="758A5E30"/>
    <w:rsid w:val="75DBD865"/>
    <w:rsid w:val="75EEC0F0"/>
    <w:rsid w:val="76253771"/>
    <w:rsid w:val="7770DE0B"/>
    <w:rsid w:val="77BC3DD1"/>
    <w:rsid w:val="77C1D280"/>
    <w:rsid w:val="77E41463"/>
    <w:rsid w:val="78211500"/>
    <w:rsid w:val="782DB641"/>
    <w:rsid w:val="7A445CE0"/>
    <w:rsid w:val="7A4EBF1F"/>
    <w:rsid w:val="7A6ABDA3"/>
    <w:rsid w:val="7A6F075E"/>
    <w:rsid w:val="7B1EE5BC"/>
    <w:rsid w:val="7BDDD364"/>
    <w:rsid w:val="7CF3AC24"/>
    <w:rsid w:val="7D5A868A"/>
    <w:rsid w:val="7D6816B4"/>
    <w:rsid w:val="7D8850F7"/>
    <w:rsid w:val="7F77E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AC677A"/>
  <w14:defaultImageDpi w14:val="300"/>
  <w15:chartTrackingRefBased/>
  <w15:docId w15:val="{D00B8FE0-BBE3-4158-8ED2-3D7A3D27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B6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068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86D1A"/>
    <w:rPr>
      <w:sz w:val="18"/>
      <w:szCs w:val="18"/>
    </w:rPr>
  </w:style>
  <w:style w:type="paragraph" w:styleId="CommentText">
    <w:name w:val="annotation text"/>
    <w:basedOn w:val="Normal"/>
    <w:link w:val="CommentTextChar"/>
    <w:rsid w:val="00B86D1A"/>
  </w:style>
  <w:style w:type="character" w:customStyle="1" w:styleId="CommentTextChar">
    <w:name w:val="Comment Text Char"/>
    <w:link w:val="CommentText"/>
    <w:rsid w:val="00B86D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86D1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86D1A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B73B6"/>
    <w:rPr>
      <w:b/>
      <w:bCs/>
      <w:sz w:val="28"/>
      <w:szCs w:val="24"/>
    </w:rPr>
  </w:style>
  <w:style w:type="paragraph" w:customStyle="1" w:styleId="xl28">
    <w:name w:val="xl28"/>
    <w:basedOn w:val="Normal"/>
    <w:rsid w:val="00FB73B6"/>
    <w:pPr>
      <w:spacing w:before="100" w:beforeAutospacing="1" w:after="100" w:afterAutospacing="1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597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A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97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A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0CC9"/>
    <w:pPr>
      <w:ind w:left="720"/>
      <w:contextualSpacing/>
    </w:pPr>
  </w:style>
  <w:style w:type="paragraph" w:styleId="Revision">
    <w:name w:val="Revision"/>
    <w:hidden/>
    <w:uiPriority w:val="71"/>
    <w:rsid w:val="00C66F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43E68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sid w:val="006B4B85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C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5AEC-75C1-4AA8-BEFB-A7411C32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1809</Words>
  <Characters>10312</Characters>
  <Application>Microsoft Office Word</Application>
  <DocSecurity>4</DocSecurity>
  <Lines>85</Lines>
  <Paragraphs>24</Paragraphs>
  <ScaleCrop>false</ScaleCrop>
  <Company>UIC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 Evaluation Protocol</dc:title>
  <dc:subject/>
  <dc:creator>Paul</dc:creator>
  <cp:keywords/>
  <dc:description/>
  <cp:lastModifiedBy>Gonzalez, Lucia F.</cp:lastModifiedBy>
  <cp:revision>239</cp:revision>
  <cp:lastPrinted>2006-09-28T02:16:00Z</cp:lastPrinted>
  <dcterms:created xsi:type="dcterms:W3CDTF">2024-09-20T15:54:00Z</dcterms:created>
  <dcterms:modified xsi:type="dcterms:W3CDTF">2024-10-04T20:11:00Z</dcterms:modified>
</cp:coreProperties>
</file>